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76EEF">
      <w:pPr>
        <w:pStyle w:val="21"/>
        <w:spacing w:line="360" w:lineRule="auto"/>
        <w:jc w:val="center"/>
        <w:rPr>
          <w:rFonts w:hint="eastAsia" w:ascii="宋体" w:hAnsi="宋体" w:eastAsia="宋体" w:cs="宋体"/>
          <w:b/>
          <w:bCs/>
          <w:color w:val="auto"/>
          <w:sz w:val="48"/>
          <w:szCs w:val="48"/>
          <w:highlight w:val="none"/>
          <w:lang w:eastAsia="zh-CN"/>
        </w:rPr>
      </w:pPr>
      <w:r>
        <w:rPr>
          <w:rFonts w:hint="eastAsia" w:hAnsi="宋体" w:cs="宋体"/>
          <w:b/>
          <w:bCs/>
          <w:color w:val="auto"/>
          <w:sz w:val="48"/>
          <w:szCs w:val="48"/>
          <w:highlight w:val="none"/>
          <w:lang w:eastAsia="zh-CN"/>
        </w:rPr>
        <w:t>玉溪职业技术学院（云南省玉溪工业财贸学校）改善办学条件采购项目</w:t>
      </w:r>
    </w:p>
    <w:p w14:paraId="25D78996">
      <w:pPr>
        <w:pStyle w:val="21"/>
        <w:spacing w:line="360" w:lineRule="auto"/>
        <w:rPr>
          <w:rFonts w:hint="eastAsia" w:ascii="宋体" w:hAnsi="宋体" w:eastAsia="宋体" w:cs="宋体"/>
          <w:b/>
          <w:bCs/>
          <w:color w:val="auto"/>
          <w:sz w:val="32"/>
          <w:szCs w:val="32"/>
          <w:highlight w:val="none"/>
        </w:rPr>
      </w:pPr>
    </w:p>
    <w:p w14:paraId="58C61343">
      <w:pPr>
        <w:pStyle w:val="21"/>
        <w:spacing w:line="36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项目编号：WTZB-202</w:t>
      </w:r>
      <w:r>
        <w:rPr>
          <w:rFonts w:hint="eastAsia" w:ascii="宋体" w:hAnsi="宋体" w:eastAsia="宋体" w:cs="宋体"/>
          <w:b/>
          <w:bCs/>
          <w:color w:val="auto"/>
          <w:sz w:val="32"/>
          <w:szCs w:val="32"/>
          <w:highlight w:val="none"/>
          <w:lang w:val="en-US" w:eastAsia="zh-CN"/>
        </w:rPr>
        <w:t>605</w:t>
      </w:r>
      <w:r>
        <w:rPr>
          <w:rFonts w:hint="eastAsia" w:ascii="宋体" w:hAnsi="宋体" w:eastAsia="宋体" w:cs="宋体"/>
          <w:b/>
          <w:bCs/>
          <w:color w:val="auto"/>
          <w:sz w:val="32"/>
          <w:szCs w:val="32"/>
          <w:highlight w:val="none"/>
        </w:rPr>
        <w:t>-00</w:t>
      </w:r>
      <w:r>
        <w:rPr>
          <w:rFonts w:hint="eastAsia" w:ascii="宋体" w:hAnsi="宋体" w:eastAsia="宋体" w:cs="宋体"/>
          <w:b/>
          <w:bCs/>
          <w:color w:val="auto"/>
          <w:sz w:val="32"/>
          <w:szCs w:val="32"/>
          <w:highlight w:val="none"/>
          <w:lang w:val="en-US" w:eastAsia="zh-CN"/>
        </w:rPr>
        <w:t>1</w:t>
      </w:r>
    </w:p>
    <w:p w14:paraId="41DDCE07">
      <w:pPr>
        <w:pStyle w:val="21"/>
        <w:spacing w:line="360" w:lineRule="auto"/>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标段</w:t>
      </w:r>
      <w:r>
        <w:rPr>
          <w:rFonts w:hint="eastAsia" w:ascii="宋体" w:hAnsi="宋体" w:eastAsia="宋体" w:cs="宋体"/>
          <w:b/>
          <w:color w:val="auto"/>
          <w:sz w:val="32"/>
          <w:szCs w:val="32"/>
          <w:highlight w:val="none"/>
          <w:lang w:val="en-US" w:eastAsia="zh-CN"/>
        </w:rPr>
        <w:t>号及</w:t>
      </w:r>
      <w:r>
        <w:rPr>
          <w:rFonts w:hint="eastAsia" w:ascii="宋体" w:hAnsi="宋体" w:eastAsia="宋体" w:cs="宋体"/>
          <w:b/>
          <w:color w:val="auto"/>
          <w:sz w:val="32"/>
          <w:szCs w:val="32"/>
          <w:highlight w:val="none"/>
          <w:lang w:eastAsia="zh-CN"/>
        </w:rPr>
        <w:t>名称</w:t>
      </w:r>
      <w:r>
        <w:rPr>
          <w:rFonts w:hint="eastAsia" w:ascii="宋体" w:hAnsi="宋体" w:eastAsia="宋体" w:cs="宋体"/>
          <w:b/>
          <w:color w:val="auto"/>
          <w:sz w:val="32"/>
          <w:szCs w:val="32"/>
          <w:highlight w:val="none"/>
        </w:rPr>
        <w:t>：标段</w:t>
      </w:r>
      <w:r>
        <w:rPr>
          <w:rFonts w:hint="eastAsia" w:ascii="宋体" w:hAnsi="宋体" w:eastAsia="宋体" w:cs="宋体"/>
          <w:b/>
          <w:color w:val="auto"/>
          <w:sz w:val="32"/>
          <w:szCs w:val="32"/>
          <w:highlight w:val="none"/>
          <w:lang w:val="en-US" w:eastAsia="zh-CN"/>
        </w:rPr>
        <w:t xml:space="preserve">1 </w:t>
      </w:r>
      <w:r>
        <w:rPr>
          <w:rFonts w:hint="eastAsia" w:hAnsi="宋体" w:cs="宋体"/>
          <w:b/>
          <w:color w:val="auto"/>
          <w:sz w:val="32"/>
          <w:szCs w:val="32"/>
          <w:highlight w:val="none"/>
          <w:lang w:val="en-US" w:eastAsia="zh-CN"/>
        </w:rPr>
        <w:t>图书采购（图书配套设施设备）项目</w:t>
      </w:r>
    </w:p>
    <w:p w14:paraId="0928A7FE">
      <w:pPr>
        <w:pStyle w:val="21"/>
        <w:spacing w:line="360" w:lineRule="auto"/>
        <w:jc w:val="center"/>
        <w:rPr>
          <w:rFonts w:hint="eastAsia" w:ascii="宋体" w:hAnsi="宋体" w:eastAsia="宋体" w:cs="宋体"/>
          <w:b/>
          <w:color w:val="auto"/>
          <w:sz w:val="32"/>
          <w:szCs w:val="32"/>
          <w:highlight w:val="none"/>
        </w:rPr>
      </w:pPr>
    </w:p>
    <w:p w14:paraId="59634D2D">
      <w:pPr>
        <w:pStyle w:val="21"/>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84"/>
          <w:szCs w:val="84"/>
          <w:highlight w:val="none"/>
        </w:rPr>
        <w:t>招标文件</w:t>
      </w:r>
    </w:p>
    <w:p w14:paraId="27BFC1D7">
      <w:pPr>
        <w:pStyle w:val="21"/>
        <w:spacing w:line="360" w:lineRule="auto"/>
        <w:jc w:val="center"/>
        <w:rPr>
          <w:rFonts w:hint="eastAsia" w:ascii="宋体" w:hAnsi="宋体" w:eastAsia="宋体" w:cs="宋体"/>
          <w:b/>
          <w:bCs/>
          <w:color w:val="auto"/>
          <w:sz w:val="32"/>
          <w:highlight w:val="none"/>
        </w:rPr>
      </w:pPr>
      <w:r>
        <w:rPr>
          <w:rFonts w:hint="eastAsia" w:ascii="宋体" w:hAnsi="宋体" w:eastAsia="宋体" w:cs="宋体"/>
          <w:color w:val="auto"/>
          <w:highlight w:val="none"/>
        </w:rPr>
        <w:drawing>
          <wp:inline distT="0" distB="0" distL="114300" distR="114300">
            <wp:extent cx="2715895" cy="2549525"/>
            <wp:effectExtent l="0" t="0" r="8255" b="31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1"/>
                    <a:stretch>
                      <a:fillRect/>
                    </a:stretch>
                  </pic:blipFill>
                  <pic:spPr>
                    <a:xfrm>
                      <a:off x="0" y="0"/>
                      <a:ext cx="2715895" cy="2549525"/>
                    </a:xfrm>
                    <a:prstGeom prst="rect">
                      <a:avLst/>
                    </a:prstGeom>
                    <a:noFill/>
                    <a:ln>
                      <a:noFill/>
                    </a:ln>
                  </pic:spPr>
                </pic:pic>
              </a:graphicData>
            </a:graphic>
          </wp:inline>
        </w:drawing>
      </w:r>
    </w:p>
    <w:p w14:paraId="027C0B48">
      <w:pPr>
        <w:pStyle w:val="21"/>
        <w:spacing w:line="360" w:lineRule="auto"/>
        <w:jc w:val="center"/>
        <w:rPr>
          <w:rFonts w:hint="eastAsia" w:ascii="宋体" w:hAnsi="宋体" w:eastAsia="宋体" w:cs="宋体"/>
          <w:b/>
          <w:bCs/>
          <w:color w:val="auto"/>
          <w:sz w:val="32"/>
          <w:szCs w:val="32"/>
          <w:highlight w:val="none"/>
        </w:rPr>
      </w:pPr>
    </w:p>
    <w:p w14:paraId="6BC98925">
      <w:pPr>
        <w:rPr>
          <w:rFonts w:hint="eastAsia" w:ascii="宋体" w:hAnsi="宋体" w:eastAsia="宋体" w:cs="宋体"/>
          <w:color w:val="auto"/>
          <w:highlight w:val="none"/>
        </w:rPr>
      </w:pPr>
    </w:p>
    <w:p w14:paraId="55F35311">
      <w:pPr>
        <w:rPr>
          <w:rFonts w:hint="eastAsia" w:ascii="宋体" w:hAnsi="宋体" w:eastAsia="宋体" w:cs="宋体"/>
          <w:color w:val="auto"/>
          <w:highlight w:val="none"/>
        </w:rPr>
      </w:pPr>
    </w:p>
    <w:p w14:paraId="7CCA3117">
      <w:pPr>
        <w:rPr>
          <w:rFonts w:hint="eastAsia" w:ascii="宋体" w:hAnsi="宋体" w:eastAsia="宋体" w:cs="宋体"/>
          <w:color w:val="auto"/>
          <w:highlight w:val="none"/>
        </w:rPr>
      </w:pPr>
    </w:p>
    <w:p w14:paraId="4ED82CD0">
      <w:pPr>
        <w:pStyle w:val="21"/>
        <w:spacing w:line="360" w:lineRule="auto"/>
        <w:rPr>
          <w:rFonts w:hint="eastAsia" w:ascii="宋体" w:hAnsi="宋体" w:eastAsia="宋体" w:cs="宋体"/>
          <w:b/>
          <w:bCs/>
          <w:color w:val="auto"/>
          <w:sz w:val="28"/>
          <w:szCs w:val="28"/>
          <w:highlight w:val="none"/>
        </w:rPr>
      </w:pPr>
    </w:p>
    <w:p w14:paraId="266411BA">
      <w:pPr>
        <w:rPr>
          <w:rFonts w:hint="eastAsia" w:ascii="宋体" w:hAnsi="宋体" w:eastAsia="宋体" w:cs="宋体"/>
          <w:b/>
          <w:bCs/>
          <w:color w:val="auto"/>
          <w:sz w:val="28"/>
          <w:szCs w:val="28"/>
          <w:highlight w:val="none"/>
        </w:rPr>
      </w:pPr>
    </w:p>
    <w:p w14:paraId="563C04EC">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  购  人：</w:t>
      </w:r>
      <w:r>
        <w:rPr>
          <w:rFonts w:hint="eastAsia" w:ascii="宋体" w:hAnsi="宋体" w:eastAsia="宋体" w:cs="宋体"/>
          <w:b/>
          <w:bCs/>
          <w:color w:val="auto"/>
          <w:sz w:val="32"/>
          <w:szCs w:val="32"/>
          <w:highlight w:val="none"/>
          <w:u w:val="single"/>
        </w:rPr>
        <w:t>玉溪职业技术学院（云南省玉溪工业财贸学校）</w:t>
      </w:r>
      <w:r>
        <w:rPr>
          <w:rFonts w:hint="eastAsia" w:ascii="宋体" w:hAnsi="宋体" w:eastAsia="宋体" w:cs="宋体"/>
          <w:b/>
          <w:bCs/>
          <w:color w:val="auto"/>
          <w:kern w:val="0"/>
          <w:sz w:val="32"/>
          <w:szCs w:val="32"/>
          <w:highlight w:val="none"/>
          <w:u w:val="single"/>
        </w:rPr>
        <w:t>(盖章)</w:t>
      </w:r>
    </w:p>
    <w:p w14:paraId="5795B803">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采购代理机构：</w:t>
      </w:r>
      <w:r>
        <w:rPr>
          <w:rFonts w:hint="eastAsia" w:ascii="宋体" w:hAnsi="宋体" w:eastAsia="宋体" w:cs="宋体"/>
          <w:b/>
          <w:bCs/>
          <w:color w:val="auto"/>
          <w:sz w:val="32"/>
          <w:szCs w:val="32"/>
          <w:highlight w:val="none"/>
          <w:u w:val="single"/>
        </w:rPr>
        <w:t>云南梧桐建设工程管理有限公司</w:t>
      </w:r>
      <w:r>
        <w:rPr>
          <w:rFonts w:hint="eastAsia" w:ascii="宋体" w:hAnsi="宋体" w:eastAsia="宋体" w:cs="宋体"/>
          <w:b/>
          <w:bCs/>
          <w:color w:val="auto"/>
          <w:kern w:val="0"/>
          <w:sz w:val="32"/>
          <w:szCs w:val="32"/>
          <w:highlight w:val="none"/>
          <w:u w:val="single"/>
        </w:rPr>
        <w:t>(盖章)</w:t>
      </w:r>
    </w:p>
    <w:p w14:paraId="39E6205D">
      <w:pPr>
        <w:pStyle w:val="21"/>
        <w:spacing w:line="360" w:lineRule="auto"/>
        <w:rPr>
          <w:rFonts w:hint="eastAsia" w:ascii="宋体" w:hAnsi="宋体" w:eastAsia="宋体" w:cs="宋体"/>
          <w:b/>
          <w:bCs/>
          <w:color w:val="auto"/>
          <w:sz w:val="36"/>
          <w:szCs w:val="36"/>
          <w:highlight w:val="none"/>
        </w:rPr>
      </w:pPr>
      <w:r>
        <w:rPr>
          <w:rFonts w:hint="eastAsia" w:ascii="宋体" w:hAnsi="宋体" w:eastAsia="宋体" w:cs="宋体"/>
          <w:b/>
          <w:bCs/>
          <w:color w:val="auto"/>
          <w:sz w:val="32"/>
          <w:szCs w:val="32"/>
          <w:highlight w:val="none"/>
        </w:rPr>
        <w:t>日期：202</w:t>
      </w:r>
      <w:r>
        <w:rPr>
          <w:rFonts w:hint="eastAsia" w:ascii="宋体" w:hAnsi="宋体" w:eastAsia="宋体" w:cs="宋体"/>
          <w:b/>
          <w:bCs/>
          <w:color w:val="auto"/>
          <w:sz w:val="32"/>
          <w:szCs w:val="32"/>
          <w:highlight w:val="none"/>
          <w:lang w:val="en-US" w:eastAsia="zh-CN"/>
        </w:rPr>
        <w:t>6</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05</w:t>
      </w:r>
      <w:r>
        <w:rPr>
          <w:rFonts w:hint="eastAsia" w:ascii="宋体" w:hAnsi="宋体" w:eastAsia="宋体" w:cs="宋体"/>
          <w:b/>
          <w:bCs/>
          <w:color w:val="auto"/>
          <w:sz w:val="32"/>
          <w:szCs w:val="32"/>
          <w:highlight w:val="none"/>
        </w:rPr>
        <w:t>月</w:t>
      </w:r>
    </w:p>
    <w:p w14:paraId="25C1229C">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1BE08F8">
      <w:pPr>
        <w:rPr>
          <w:rFonts w:hint="eastAsia" w:ascii="宋体" w:hAnsi="宋体" w:eastAsia="宋体" w:cs="宋体"/>
          <w:color w:val="auto"/>
          <w:highlight w:val="none"/>
        </w:rPr>
        <w:sectPr>
          <w:headerReference r:id="rId4" w:type="first"/>
          <w:headerReference r:id="rId3" w:type="default"/>
          <w:footerReference r:id="rId5" w:type="default"/>
          <w:pgSz w:w="11906" w:h="16838"/>
          <w:pgMar w:top="1247" w:right="1247" w:bottom="1247" w:left="1247" w:header="964" w:footer="992" w:gutter="0"/>
          <w:pgNumType w:start="0"/>
          <w:cols w:space="0" w:num="1"/>
          <w:docGrid w:type="lines" w:linePitch="319" w:charSpace="0"/>
        </w:sectPr>
      </w:pPr>
    </w:p>
    <w:p w14:paraId="6BC96F21">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目  录</w:t>
      </w:r>
    </w:p>
    <w:p w14:paraId="01BE7FD8">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_Toc25933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i w:val="0"/>
          <w:iCs w:val="0"/>
          <w:color w:val="auto"/>
          <w:kern w:val="44"/>
          <w:sz w:val="28"/>
          <w:szCs w:val="28"/>
          <w:highlight w:val="none"/>
        </w:rPr>
        <w:t>第一章  招标公告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_Toc25933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C803259">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_Toc6356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44"/>
          <w:sz w:val="28"/>
          <w:szCs w:val="28"/>
          <w:highlight w:val="none"/>
        </w:rPr>
        <w:t>第二章  投标人须知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_Toc6356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987504F">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_Toc29316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44"/>
          <w:sz w:val="28"/>
          <w:szCs w:val="28"/>
          <w:highlight w:val="none"/>
        </w:rPr>
        <w:t>第三章  合同书样式及主要条款</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_Toc29316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E5D44B4">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_Toc23194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第</w:t>
      </w:r>
      <w:r>
        <w:rPr>
          <w:rFonts w:hint="eastAsia" w:ascii="宋体" w:hAnsi="宋体" w:eastAsia="宋体" w:cs="宋体"/>
          <w:bCs w:val="0"/>
          <w:color w:val="auto"/>
          <w:sz w:val="28"/>
          <w:szCs w:val="28"/>
          <w:highlight w:val="none"/>
          <w:lang w:val="en-US" w:eastAsia="zh-CN"/>
        </w:rPr>
        <w:t>四</w:t>
      </w:r>
      <w:r>
        <w:rPr>
          <w:rFonts w:hint="eastAsia" w:ascii="宋体" w:hAnsi="宋体" w:eastAsia="宋体" w:cs="宋体"/>
          <w:bCs w:val="0"/>
          <w:color w:val="auto"/>
          <w:sz w:val="28"/>
          <w:szCs w:val="28"/>
          <w:highlight w:val="none"/>
        </w:rPr>
        <w:t>章  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_Toc23194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70F47A6">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_Toc27735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w:t>
      </w:r>
      <w:r>
        <w:rPr>
          <w:rFonts w:hint="eastAsia" w:ascii="宋体" w:hAnsi="宋体" w:eastAsia="宋体" w:cs="宋体"/>
          <w:bCs/>
          <w:color w:val="auto"/>
          <w:sz w:val="28"/>
          <w:szCs w:val="28"/>
          <w:highlight w:val="none"/>
          <w:lang w:val="en-US" w:eastAsia="zh-CN"/>
        </w:rPr>
        <w:t>五</w:t>
      </w:r>
      <w:r>
        <w:rPr>
          <w:rFonts w:hint="eastAsia" w:ascii="宋体" w:hAnsi="宋体" w:eastAsia="宋体" w:cs="宋体"/>
          <w:bCs/>
          <w:color w:val="auto"/>
          <w:sz w:val="28"/>
          <w:szCs w:val="28"/>
          <w:highlight w:val="none"/>
        </w:rPr>
        <w:t>章  资格评审标准</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_Toc27735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B509EE1">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_Toc19930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w:t>
      </w:r>
      <w:r>
        <w:rPr>
          <w:rFonts w:hint="eastAsia" w:ascii="宋体" w:hAnsi="宋体" w:eastAsia="宋体" w:cs="宋体"/>
          <w:bCs/>
          <w:color w:val="auto"/>
          <w:sz w:val="28"/>
          <w:szCs w:val="28"/>
          <w:highlight w:val="none"/>
          <w:lang w:val="en-US" w:eastAsia="zh-CN"/>
        </w:rPr>
        <w:t>六</w:t>
      </w:r>
      <w:r>
        <w:rPr>
          <w:rFonts w:hint="eastAsia" w:ascii="宋体" w:hAnsi="宋体" w:eastAsia="宋体" w:cs="宋体"/>
          <w:bCs/>
          <w:color w:val="auto"/>
          <w:sz w:val="28"/>
          <w:szCs w:val="28"/>
          <w:highlight w:val="none"/>
        </w:rPr>
        <w:t>章  评标办法（综合评分法）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_Toc19930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F5AC635">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_Toc3964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w:t>
      </w:r>
      <w:r>
        <w:rPr>
          <w:rFonts w:hint="eastAsia" w:ascii="宋体" w:hAnsi="宋体" w:eastAsia="宋体" w:cs="宋体"/>
          <w:bCs/>
          <w:color w:val="auto"/>
          <w:sz w:val="28"/>
          <w:szCs w:val="28"/>
          <w:highlight w:val="none"/>
          <w:lang w:val="en-US" w:eastAsia="zh-CN"/>
        </w:rPr>
        <w:t>七</w:t>
      </w:r>
      <w:r>
        <w:rPr>
          <w:rFonts w:hint="eastAsia" w:ascii="宋体" w:hAnsi="宋体" w:eastAsia="宋体" w:cs="宋体"/>
          <w:bCs/>
          <w:color w:val="auto"/>
          <w:sz w:val="28"/>
          <w:szCs w:val="28"/>
          <w:highlight w:val="none"/>
        </w:rPr>
        <w:t>章  投标文件格式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_Toc3964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53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4F3397B">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color w:val="auto"/>
          <w:sz w:val="28"/>
          <w:szCs w:val="28"/>
          <w:highlight w:val="none"/>
        </w:rPr>
        <w:fldChar w:fldCharType="end"/>
      </w:r>
    </w:p>
    <w:p w14:paraId="71F0E864">
      <w:pPr>
        <w:pStyle w:val="20"/>
        <w:tabs>
          <w:tab w:val="right" w:leader="dot" w:pos="9353"/>
        </w:tabs>
        <w:ind w:left="630"/>
        <w:jc w:val="center"/>
        <w:outlineLvl w:val="0"/>
        <w:rPr>
          <w:rFonts w:hint="eastAsia" w:ascii="宋体" w:hAnsi="宋体" w:eastAsia="宋体" w:cs="宋体"/>
          <w:b/>
          <w:bCs/>
          <w:i w:val="0"/>
          <w:iCs w:val="0"/>
          <w:color w:val="auto"/>
          <w:kern w:val="44"/>
          <w:sz w:val="36"/>
          <w:highlight w:val="none"/>
        </w:rPr>
        <w:sectPr>
          <w:footerReference r:id="rId6" w:type="default"/>
          <w:pgSz w:w="11906" w:h="16838"/>
          <w:pgMar w:top="1247" w:right="1247" w:bottom="1247" w:left="1247" w:header="964" w:footer="992" w:gutter="0"/>
          <w:pgNumType w:start="1"/>
          <w:cols w:space="0" w:num="1"/>
          <w:docGrid w:type="lines" w:linePitch="319" w:charSpace="0"/>
        </w:sectPr>
      </w:pPr>
      <w:bookmarkStart w:id="0" w:name="_Toc3600"/>
      <w:bookmarkStart w:id="1" w:name="_Toc5719"/>
    </w:p>
    <w:bookmarkEnd w:id="0"/>
    <w:bookmarkEnd w:id="1"/>
    <w:p w14:paraId="3B18B04C">
      <w:pPr>
        <w:pStyle w:val="20"/>
        <w:tabs>
          <w:tab w:val="right" w:leader="dot" w:pos="9353"/>
        </w:tabs>
        <w:ind w:left="630"/>
        <w:jc w:val="center"/>
        <w:outlineLvl w:val="0"/>
        <w:rPr>
          <w:rFonts w:hint="eastAsia" w:ascii="宋体" w:hAnsi="宋体" w:eastAsia="宋体" w:cs="宋体"/>
          <w:bCs/>
          <w:color w:val="auto"/>
          <w:sz w:val="36"/>
          <w:highlight w:val="none"/>
        </w:rPr>
      </w:pPr>
      <w:bookmarkStart w:id="2" w:name="_Toc25933"/>
      <w:bookmarkStart w:id="3" w:name="_Toc15108"/>
      <w:bookmarkStart w:id="4" w:name="_Toc21914"/>
      <w:r>
        <w:rPr>
          <w:rFonts w:hint="eastAsia" w:ascii="宋体" w:hAnsi="宋体" w:eastAsia="宋体" w:cs="宋体"/>
          <w:b/>
          <w:bCs/>
          <w:i w:val="0"/>
          <w:iCs w:val="0"/>
          <w:color w:val="auto"/>
          <w:kern w:val="44"/>
          <w:sz w:val="36"/>
          <w:highlight w:val="none"/>
        </w:rPr>
        <w:t>第一章  招标公告</w:t>
      </w:r>
      <w:bookmarkEnd w:id="2"/>
      <w:bookmarkStart w:id="5" w:name="_Hlk111045776"/>
    </w:p>
    <w:bookmarkEnd w:id="5"/>
    <w:tbl>
      <w:tblPr>
        <w:tblStyle w:val="4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633"/>
      </w:tblGrid>
      <w:tr w14:paraId="199D85D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9633" w:type="dxa"/>
            <w:tcBorders>
              <w:top w:val="outset" w:color="auto" w:sz="6" w:space="0"/>
              <w:left w:val="outset" w:color="auto" w:sz="6" w:space="0"/>
              <w:bottom w:val="outset" w:color="auto" w:sz="6" w:space="0"/>
              <w:right w:val="outset" w:color="auto" w:sz="6" w:space="0"/>
            </w:tcBorders>
            <w:noWrap w:val="0"/>
            <w:vAlign w:val="center"/>
          </w:tcPr>
          <w:p w14:paraId="4858BD4E">
            <w:pPr>
              <w:widowControl/>
              <w:spacing w:line="360" w:lineRule="auto"/>
              <w:ind w:firstLine="480" w:firstLineChars="200"/>
              <w:jc w:val="left"/>
              <w:rPr>
                <w:rFonts w:hint="eastAsia" w:ascii="宋体" w:hAnsi="宋体" w:eastAsia="宋体" w:cs="宋体"/>
                <w:color w:val="auto"/>
                <w:kern w:val="0"/>
                <w:sz w:val="24"/>
                <w:highlight w:val="none"/>
              </w:rPr>
            </w:pPr>
            <w:bookmarkStart w:id="6" w:name="_Hlk47538808"/>
            <w:r>
              <w:rPr>
                <w:rFonts w:hint="eastAsia" w:ascii="宋体" w:hAnsi="宋体" w:eastAsia="宋体" w:cs="宋体"/>
                <w:color w:val="auto"/>
                <w:kern w:val="0"/>
                <w:sz w:val="24"/>
                <w:highlight w:val="none"/>
              </w:rPr>
              <w:t>项目概况</w:t>
            </w:r>
          </w:p>
          <w:p w14:paraId="0E1360D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cs="宋体"/>
                <w:color w:val="auto"/>
                <w:kern w:val="0"/>
                <w:sz w:val="24"/>
                <w:highlight w:val="none"/>
                <w:u w:val="single"/>
                <w:lang w:eastAsia="zh-CN"/>
              </w:rPr>
              <w:t>玉溪职业技术学院（云南省玉溪工业财贸学校）改善办学条件采购项目</w:t>
            </w:r>
            <w:r>
              <w:rPr>
                <w:rFonts w:hint="eastAsia" w:ascii="宋体" w:hAnsi="宋体" w:eastAsia="宋体" w:cs="宋体"/>
                <w:color w:val="auto"/>
                <w:kern w:val="0"/>
                <w:sz w:val="24"/>
                <w:highlight w:val="none"/>
              </w:rPr>
              <w:t>的潜在投标人应在政采云平台（https://www.zcygov.cn/），凭企业数字证书（CA）在网上获取招标文件，</w:t>
            </w:r>
            <w:r>
              <w:rPr>
                <w:rFonts w:hint="eastAsia" w:ascii="宋体" w:hAnsi="宋体" w:eastAsia="宋体" w:cs="宋体"/>
                <w:b/>
                <w:bCs/>
                <w:color w:val="auto"/>
                <w:kern w:val="0"/>
                <w:sz w:val="24"/>
                <w:highlight w:val="none"/>
              </w:rPr>
              <w:t>并于2026年0</w:t>
            </w:r>
            <w:r>
              <w:rPr>
                <w:rFonts w:hint="eastAsia" w:ascii="宋体" w:hAnsi="宋体" w:eastAsia="宋体" w:cs="宋体"/>
                <w:b/>
                <w:bCs/>
                <w:color w:val="auto"/>
                <w:kern w:val="0"/>
                <w:sz w:val="24"/>
                <w:highlight w:val="none"/>
                <w:lang w:val="en-US" w:eastAsia="zh-CN"/>
              </w:rPr>
              <w:t>5</w:t>
            </w:r>
            <w:r>
              <w:rPr>
                <w:rFonts w:hint="eastAsia" w:ascii="宋体" w:hAnsi="宋体" w:eastAsia="宋体" w:cs="宋体"/>
                <w:b/>
                <w:bCs/>
                <w:color w:val="auto"/>
                <w:kern w:val="0"/>
                <w:sz w:val="24"/>
                <w:highlight w:val="none"/>
              </w:rPr>
              <w:t>月</w:t>
            </w:r>
            <w:r>
              <w:rPr>
                <w:rFonts w:hint="eastAsia" w:ascii="宋体" w:hAnsi="宋体" w:cs="宋体"/>
                <w:b/>
                <w:bCs/>
                <w:color w:val="auto"/>
                <w:kern w:val="0"/>
                <w:sz w:val="24"/>
                <w:highlight w:val="none"/>
                <w:lang w:val="en-US" w:eastAsia="zh-CN"/>
              </w:rPr>
              <w:t>29</w:t>
            </w:r>
            <w:r>
              <w:rPr>
                <w:rFonts w:hint="eastAsia" w:ascii="宋体" w:hAnsi="宋体" w:eastAsia="宋体" w:cs="宋体"/>
                <w:b/>
                <w:bCs/>
                <w:color w:val="auto"/>
                <w:kern w:val="0"/>
                <w:sz w:val="24"/>
                <w:highlight w:val="none"/>
              </w:rPr>
              <w:t>日09时00分（北京时间）前</w:t>
            </w:r>
            <w:r>
              <w:rPr>
                <w:rFonts w:hint="eastAsia" w:ascii="宋体" w:hAnsi="宋体" w:eastAsia="宋体" w:cs="宋体"/>
                <w:color w:val="auto"/>
                <w:kern w:val="0"/>
                <w:sz w:val="24"/>
                <w:highlight w:val="none"/>
              </w:rPr>
              <w:t>递交投标文件。</w:t>
            </w:r>
          </w:p>
        </w:tc>
      </w:tr>
    </w:tbl>
    <w:p w14:paraId="04F7119E">
      <w:pPr>
        <w:widowControl/>
        <w:spacing w:line="360" w:lineRule="auto"/>
        <w:jc w:val="left"/>
        <w:outlineLvl w:val="1"/>
        <w:rPr>
          <w:rFonts w:hint="eastAsia" w:ascii="宋体" w:hAnsi="宋体" w:eastAsia="宋体" w:cs="宋体"/>
          <w:color w:val="auto"/>
          <w:kern w:val="0"/>
          <w:sz w:val="24"/>
          <w:highlight w:val="none"/>
        </w:rPr>
      </w:pPr>
      <w:bookmarkStart w:id="7" w:name="_Toc15358"/>
      <w:bookmarkStart w:id="8" w:name="_Toc27339"/>
      <w:bookmarkStart w:id="9" w:name="_Toc20759"/>
      <w:bookmarkStart w:id="10" w:name="_Toc27636"/>
      <w:bookmarkStart w:id="11" w:name="_Toc21206"/>
      <w:r>
        <w:rPr>
          <w:rFonts w:hint="eastAsia" w:ascii="宋体" w:hAnsi="宋体" w:eastAsia="宋体" w:cs="宋体"/>
          <w:b/>
          <w:bCs/>
          <w:color w:val="auto"/>
          <w:kern w:val="0"/>
          <w:sz w:val="24"/>
          <w:highlight w:val="none"/>
        </w:rPr>
        <w:t>一、项目基本情况</w:t>
      </w:r>
      <w:bookmarkEnd w:id="7"/>
      <w:bookmarkEnd w:id="8"/>
      <w:bookmarkEnd w:id="9"/>
      <w:bookmarkEnd w:id="10"/>
      <w:bookmarkEnd w:id="11"/>
    </w:p>
    <w:p w14:paraId="7B439346">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1B2F34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cs="宋体"/>
          <w:color w:val="auto"/>
          <w:kern w:val="0"/>
          <w:sz w:val="24"/>
          <w:highlight w:val="none"/>
          <w:lang w:eastAsia="zh-CN"/>
        </w:rPr>
        <w:t>玉溪职业技术学院（云南省玉溪工业财贸学校）改善办学条件采购项目</w:t>
      </w:r>
    </w:p>
    <w:p w14:paraId="7CB45B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p>
    <w:p w14:paraId="5E11C5A9">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1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306600.00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叁拾万陆仟陆佰</w:t>
      </w:r>
      <w:r>
        <w:rPr>
          <w:rFonts w:hint="eastAsia" w:ascii="宋体" w:hAnsi="宋体" w:eastAsia="宋体" w:cs="宋体"/>
          <w:color w:val="auto"/>
          <w:kern w:val="0"/>
          <w:sz w:val="24"/>
          <w:highlight w:val="none"/>
          <w:lang w:val="en-US" w:eastAsia="zh-CN"/>
        </w:rPr>
        <w:t>元整；</w:t>
      </w:r>
    </w:p>
    <w:p w14:paraId="12327F1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2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大写：人民币壹佰肆拾万元整。</w:t>
      </w:r>
    </w:p>
    <w:p w14:paraId="4AF208E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3 </w:t>
      </w:r>
      <w:r>
        <w:rPr>
          <w:rFonts w:hint="eastAsia" w:ascii="宋体" w:hAnsi="宋体" w:eastAsia="宋体" w:cs="宋体"/>
          <w:color w:val="auto"/>
          <w:kern w:val="0"/>
          <w:sz w:val="24"/>
          <w:highlight w:val="none"/>
          <w:lang w:eastAsia="zh-CN"/>
        </w:rPr>
        <w:t>国产办公软件正版化授权采购项目，</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750000.00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大写：人民币柒拾伍万元整。</w:t>
      </w:r>
    </w:p>
    <w:p w14:paraId="72B846E0">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4 </w:t>
      </w:r>
      <w:r>
        <w:rPr>
          <w:rFonts w:hint="eastAsia" w:ascii="宋体" w:hAnsi="宋体" w:eastAsia="宋体" w:cs="宋体"/>
          <w:color w:val="auto"/>
          <w:kern w:val="0"/>
          <w:sz w:val="24"/>
          <w:highlight w:val="none"/>
          <w:lang w:eastAsia="zh-CN"/>
        </w:rPr>
        <w:t>《高职语文（AI 应用版）》课程资源包与新形态教材一体化建设项目，</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i w:val="0"/>
          <w:iCs w:val="0"/>
          <w:color w:val="auto"/>
          <w:kern w:val="0"/>
          <w:sz w:val="24"/>
          <w:szCs w:val="24"/>
          <w:highlight w:val="none"/>
          <w:u w:val="none"/>
          <w:lang w:val="en-US" w:eastAsia="zh-CN" w:bidi="ar"/>
        </w:rPr>
        <w:t>500000.00元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大写：人民币伍拾万元整。</w:t>
      </w:r>
    </w:p>
    <w:p w14:paraId="0E5F8CAA">
      <w:pPr>
        <w:pStyle w:val="2"/>
        <w:keepNext w:val="0"/>
        <w:keepLines w:val="0"/>
        <w:pageBreakBefore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标段5 马克思主义学院红色文化建设项目，小写:¥600000.00元；大写：人民币陆拾万元整。</w:t>
      </w:r>
    </w:p>
    <w:p w14:paraId="2C4DC729">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004"/>
        <w:gridCol w:w="2205"/>
        <w:gridCol w:w="1279"/>
        <w:gridCol w:w="869"/>
      </w:tblGrid>
      <w:tr w14:paraId="7E50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1" w:hRule="exact"/>
          <w:jc w:val="center"/>
        </w:trPr>
        <w:tc>
          <w:tcPr>
            <w:tcW w:w="886" w:type="dxa"/>
            <w:noWrap w:val="0"/>
            <w:vAlign w:val="center"/>
          </w:tcPr>
          <w:p w14:paraId="129A8B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标段号</w:t>
            </w:r>
          </w:p>
        </w:tc>
        <w:tc>
          <w:tcPr>
            <w:tcW w:w="4004" w:type="dxa"/>
            <w:noWrap w:val="0"/>
            <w:vAlign w:val="center"/>
          </w:tcPr>
          <w:p w14:paraId="44C4DD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标段名称</w:t>
            </w:r>
          </w:p>
        </w:tc>
        <w:tc>
          <w:tcPr>
            <w:tcW w:w="2205" w:type="dxa"/>
            <w:noWrap w:val="0"/>
            <w:vAlign w:val="center"/>
          </w:tcPr>
          <w:p w14:paraId="432AC4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预算金额</w:t>
            </w:r>
          </w:p>
          <w:p w14:paraId="128512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（最高限价）/元</w:t>
            </w:r>
          </w:p>
        </w:tc>
        <w:tc>
          <w:tcPr>
            <w:tcW w:w="1279" w:type="dxa"/>
            <w:noWrap w:val="0"/>
            <w:vAlign w:val="center"/>
          </w:tcPr>
          <w:p w14:paraId="3D968A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是否接受进口产品</w:t>
            </w:r>
          </w:p>
        </w:tc>
        <w:tc>
          <w:tcPr>
            <w:tcW w:w="869" w:type="dxa"/>
            <w:noWrap w:val="0"/>
            <w:vAlign w:val="center"/>
          </w:tcPr>
          <w:p w14:paraId="779A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color w:val="auto"/>
                <w:kern w:val="2"/>
                <w:sz w:val="24"/>
                <w:szCs w:val="24"/>
                <w:highlight w:val="none"/>
                <w:lang w:val="en-US" w:eastAsia="zh-CN" w:bidi="ar-SA"/>
              </w:rPr>
            </w:pPr>
            <w:r>
              <w:rPr>
                <w:rFonts w:hint="eastAsia" w:ascii="宋体" w:hAnsi="宋体" w:cs="宋体"/>
                <w:b/>
                <w:color w:val="auto"/>
                <w:kern w:val="2"/>
                <w:sz w:val="24"/>
                <w:szCs w:val="24"/>
                <w:highlight w:val="none"/>
                <w:lang w:val="en-US" w:eastAsia="zh-CN" w:bidi="ar-SA"/>
              </w:rPr>
              <w:t>备注</w:t>
            </w:r>
          </w:p>
        </w:tc>
      </w:tr>
      <w:tr w14:paraId="2564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86" w:type="dxa"/>
            <w:noWrap w:val="0"/>
            <w:vAlign w:val="center"/>
          </w:tcPr>
          <w:p w14:paraId="6D34A71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1</w:t>
            </w:r>
          </w:p>
        </w:tc>
        <w:tc>
          <w:tcPr>
            <w:tcW w:w="4004" w:type="dxa"/>
            <w:noWrap w:val="0"/>
            <w:vAlign w:val="center"/>
          </w:tcPr>
          <w:p w14:paraId="169C693A">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图书采购（图书配套设施设备）项目</w:t>
            </w:r>
          </w:p>
        </w:tc>
        <w:tc>
          <w:tcPr>
            <w:tcW w:w="2205" w:type="dxa"/>
            <w:noWrap w:val="0"/>
            <w:vAlign w:val="center"/>
          </w:tcPr>
          <w:p w14:paraId="78AEDADE">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vertAlign w:val="baseline"/>
                <w:lang w:val="en-US" w:eastAsia="zh-CN"/>
              </w:rPr>
              <w:t>306600.00</w:t>
            </w:r>
          </w:p>
        </w:tc>
        <w:tc>
          <w:tcPr>
            <w:tcW w:w="1279" w:type="dxa"/>
            <w:noWrap w:val="0"/>
            <w:vAlign w:val="center"/>
          </w:tcPr>
          <w:p w14:paraId="447549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否</w:t>
            </w:r>
          </w:p>
        </w:tc>
        <w:tc>
          <w:tcPr>
            <w:tcW w:w="869" w:type="dxa"/>
            <w:noWrap w:val="0"/>
            <w:vAlign w:val="center"/>
          </w:tcPr>
          <w:p w14:paraId="6ABA73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E4D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86" w:type="dxa"/>
            <w:noWrap w:val="0"/>
            <w:vAlign w:val="center"/>
          </w:tcPr>
          <w:p w14:paraId="082BB4C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w:t>
            </w:r>
          </w:p>
        </w:tc>
        <w:tc>
          <w:tcPr>
            <w:tcW w:w="4004" w:type="dxa"/>
            <w:noWrap w:val="0"/>
            <w:vAlign w:val="center"/>
          </w:tcPr>
          <w:p w14:paraId="30B354AD">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图书采购（图书）项目</w:t>
            </w:r>
          </w:p>
        </w:tc>
        <w:tc>
          <w:tcPr>
            <w:tcW w:w="2205" w:type="dxa"/>
            <w:noWrap w:val="0"/>
            <w:vAlign w:val="center"/>
          </w:tcPr>
          <w:p w14:paraId="21F9BA51">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w:t>
            </w:r>
          </w:p>
        </w:tc>
        <w:tc>
          <w:tcPr>
            <w:tcW w:w="1279" w:type="dxa"/>
            <w:noWrap w:val="0"/>
            <w:vAlign w:val="center"/>
          </w:tcPr>
          <w:p w14:paraId="5D3CA7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23C3B8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A14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86" w:type="dxa"/>
            <w:noWrap w:val="0"/>
            <w:vAlign w:val="center"/>
          </w:tcPr>
          <w:p w14:paraId="66B8C09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4004" w:type="dxa"/>
            <w:noWrap w:val="0"/>
            <w:vAlign w:val="center"/>
          </w:tcPr>
          <w:p w14:paraId="04C3E273">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highlight w:val="none"/>
                <w:lang w:eastAsia="zh-CN"/>
              </w:rPr>
              <w:t>国产办公软件正版化授权采购项目</w:t>
            </w:r>
          </w:p>
        </w:tc>
        <w:tc>
          <w:tcPr>
            <w:tcW w:w="2205" w:type="dxa"/>
            <w:noWrap w:val="0"/>
            <w:vAlign w:val="center"/>
          </w:tcPr>
          <w:p w14:paraId="5A5D68A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bCs w:val="0"/>
                <w:color w:val="auto"/>
                <w:sz w:val="24"/>
                <w:szCs w:val="24"/>
                <w:highlight w:val="none"/>
                <w:vertAlign w:val="baseline"/>
                <w:lang w:val="en-US" w:eastAsia="zh-CN"/>
              </w:rPr>
              <w:t>750000.00</w:t>
            </w:r>
          </w:p>
        </w:tc>
        <w:tc>
          <w:tcPr>
            <w:tcW w:w="1279" w:type="dxa"/>
            <w:noWrap w:val="0"/>
            <w:vAlign w:val="center"/>
          </w:tcPr>
          <w:p w14:paraId="1F9AE2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D4DF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1396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86" w:type="dxa"/>
            <w:noWrap w:val="0"/>
            <w:vAlign w:val="center"/>
          </w:tcPr>
          <w:p w14:paraId="3CEB10B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4004" w:type="dxa"/>
            <w:noWrap w:val="0"/>
            <w:vAlign w:val="center"/>
          </w:tcPr>
          <w:p w14:paraId="0C02C16D">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highlight w:val="none"/>
                <w:lang w:eastAsia="zh-CN"/>
              </w:rPr>
              <w:t>《高职语文（AI 应用版）》课程资源包与新形态教材一体化建设项目</w:t>
            </w:r>
          </w:p>
        </w:tc>
        <w:tc>
          <w:tcPr>
            <w:tcW w:w="2205" w:type="dxa"/>
            <w:noWrap w:val="0"/>
            <w:vAlign w:val="center"/>
          </w:tcPr>
          <w:p w14:paraId="4C4F17E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500000.00</w:t>
            </w:r>
          </w:p>
        </w:tc>
        <w:tc>
          <w:tcPr>
            <w:tcW w:w="1279" w:type="dxa"/>
            <w:noWrap w:val="0"/>
            <w:vAlign w:val="center"/>
          </w:tcPr>
          <w:p w14:paraId="68A151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0DF7D3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0750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886" w:type="dxa"/>
            <w:noWrap w:val="0"/>
            <w:vAlign w:val="center"/>
          </w:tcPr>
          <w:p w14:paraId="0D8BC2A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4004" w:type="dxa"/>
            <w:noWrap w:val="0"/>
            <w:vAlign w:val="center"/>
          </w:tcPr>
          <w:p w14:paraId="294E3A88">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b w:val="0"/>
                <w:color w:val="auto"/>
                <w:spacing w:val="0"/>
                <w:kern w:val="0"/>
                <w:sz w:val="24"/>
                <w:szCs w:val="24"/>
                <w:highlight w:val="none"/>
                <w:lang w:val="en-US" w:eastAsia="zh-CN" w:bidi="ar-SA"/>
              </w:rPr>
              <w:t>马克思主义学院红色文化建设项目</w:t>
            </w:r>
          </w:p>
        </w:tc>
        <w:tc>
          <w:tcPr>
            <w:tcW w:w="2205" w:type="dxa"/>
            <w:noWrap w:val="0"/>
            <w:vAlign w:val="center"/>
          </w:tcPr>
          <w:p w14:paraId="46FC3C9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color w:val="auto"/>
                <w:spacing w:val="0"/>
                <w:kern w:val="0"/>
                <w:sz w:val="24"/>
                <w:szCs w:val="24"/>
                <w:highlight w:val="none"/>
                <w:lang w:val="en-US" w:eastAsia="zh-CN" w:bidi="ar-SA"/>
              </w:rPr>
              <w:t>600000.00</w:t>
            </w:r>
          </w:p>
        </w:tc>
        <w:tc>
          <w:tcPr>
            <w:tcW w:w="1279" w:type="dxa"/>
            <w:noWrap w:val="0"/>
            <w:vAlign w:val="center"/>
          </w:tcPr>
          <w:p w14:paraId="6AF369E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307E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C6A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890" w:type="dxa"/>
            <w:gridSpan w:val="2"/>
            <w:noWrap w:val="0"/>
            <w:vAlign w:val="center"/>
          </w:tcPr>
          <w:p w14:paraId="51F3C4F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合计：</w:t>
            </w:r>
          </w:p>
        </w:tc>
        <w:tc>
          <w:tcPr>
            <w:tcW w:w="2205" w:type="dxa"/>
            <w:noWrap w:val="0"/>
            <w:vAlign w:val="center"/>
          </w:tcPr>
          <w:p w14:paraId="0E54245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p>
        </w:tc>
        <w:tc>
          <w:tcPr>
            <w:tcW w:w="1279" w:type="dxa"/>
            <w:noWrap w:val="0"/>
            <w:vAlign w:val="center"/>
          </w:tcPr>
          <w:p w14:paraId="2609DD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c>
          <w:tcPr>
            <w:tcW w:w="869" w:type="dxa"/>
            <w:noWrap w:val="0"/>
            <w:vAlign w:val="center"/>
          </w:tcPr>
          <w:p w14:paraId="5932824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43D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243" w:type="dxa"/>
            <w:gridSpan w:val="5"/>
            <w:noWrap w:val="0"/>
            <w:vAlign w:val="center"/>
          </w:tcPr>
          <w:p w14:paraId="35B99596">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备注：（1）本项目所包含设备不接受进口产品投标（进口产品是指通过中国海关报关验放进入中国境内且产自关境外的产品）；</w:t>
            </w:r>
          </w:p>
          <w:p w14:paraId="6A67BB89">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（2）标包划分：本项目分为1、2、3、4、5、五个标段，其中每个标段涉及具体内容、招标采购货物或服务技术要求及相关参数要求详见招标文件第四章“采购需求”。</w:t>
            </w:r>
          </w:p>
          <w:p w14:paraId="2B07294C">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本项目共分为五个标段，投标人可选择其中的一个或多个标段进行投标，且同一个投标人可以同时中取一个或多个标段。投标文件需按标段分别制作、分别投标。投标人须对所投的产品须进行整体投标报价，不得缺项漏项，否则按不响应招标文件实质性要求处理。</w:t>
            </w:r>
          </w:p>
        </w:tc>
      </w:tr>
    </w:tbl>
    <w:p w14:paraId="094BC13A">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p>
    <w:p w14:paraId="1D12D5D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标段1</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合同签订后15个日历天内完成供货和安装调试并交付使用。</w:t>
      </w:r>
    </w:p>
    <w:p w14:paraId="73A4BBB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标段2</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：自合同签订之日起7个日历天内完成供货，质保1年；一年内提供配套服务。</w:t>
      </w:r>
    </w:p>
    <w:p w14:paraId="3DB6891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标段3</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国产办公软件正版化授权采购项目</w:t>
      </w:r>
      <w:r>
        <w:rPr>
          <w:rFonts w:hint="eastAsia" w:ascii="宋体" w:hAnsi="宋体" w:eastAsia="宋体" w:cs="宋体"/>
          <w:color w:val="auto"/>
          <w:kern w:val="0"/>
          <w:sz w:val="24"/>
          <w:highlight w:val="none"/>
          <w:lang w:eastAsia="zh-CN"/>
        </w:rPr>
        <w:t>：三年</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lang w:eastAsia="zh-CN"/>
        </w:rPr>
        <w:t>自合同签订之日起至</w:t>
      </w:r>
      <w:r>
        <w:rPr>
          <w:rFonts w:hint="eastAsia" w:ascii="宋体" w:hAnsi="宋体" w:cs="宋体"/>
          <w:color w:val="auto"/>
          <w:kern w:val="0"/>
          <w:sz w:val="24"/>
          <w:highlight w:val="none"/>
          <w:lang w:val="en-US" w:eastAsia="zh-CN"/>
        </w:rPr>
        <w:t>三</w:t>
      </w:r>
      <w:r>
        <w:rPr>
          <w:rFonts w:hint="eastAsia" w:ascii="宋体" w:hAnsi="宋体" w:eastAsia="宋体" w:cs="宋体"/>
          <w:color w:val="auto"/>
          <w:kern w:val="0"/>
          <w:sz w:val="24"/>
          <w:highlight w:val="none"/>
          <w:lang w:eastAsia="zh-CN"/>
        </w:rPr>
        <w:t>年</w:t>
      </w:r>
      <w:r>
        <w:rPr>
          <w:rFonts w:hint="eastAsia" w:ascii="宋体" w:hAnsi="宋体" w:cs="宋体"/>
          <w:color w:val="auto"/>
          <w:kern w:val="0"/>
          <w:sz w:val="24"/>
          <w:highlight w:val="none"/>
          <w:lang w:val="en-US" w:eastAsia="zh-CN"/>
        </w:rPr>
        <w:t>期满</w:t>
      </w:r>
      <w:r>
        <w:rPr>
          <w:rFonts w:hint="eastAsia" w:ascii="宋体" w:hAnsi="宋体" w:eastAsia="宋体" w:cs="宋体"/>
          <w:color w:val="auto"/>
          <w:kern w:val="0"/>
          <w:sz w:val="24"/>
          <w:highlight w:val="none"/>
          <w:lang w:eastAsia="zh-CN"/>
        </w:rPr>
        <w:t>对应之日止。</w:t>
      </w:r>
    </w:p>
    <w:p w14:paraId="5DB89E5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标段4</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eastAsia="zh-CN"/>
        </w:rPr>
        <w:t>《高职语文（AI 应用版）》课程资源包与新形态教材一体化建设项目：自合同签订之日起90个日历天内完成线上教学平台搭建与视频拍摄，180个日历天内完成教材出版工作。</w:t>
      </w:r>
    </w:p>
    <w:p w14:paraId="5E7E74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lang w:eastAsia="zh-CN"/>
        </w:rPr>
      </w:pPr>
      <w:r>
        <w:rPr>
          <w:rFonts w:hint="eastAsia" w:ascii="宋体" w:hAnsi="宋体" w:eastAsia="宋体" w:cs="宋体"/>
          <w:color w:val="auto"/>
          <w:kern w:val="0"/>
          <w:sz w:val="24"/>
          <w:highlight w:val="none"/>
        </w:rPr>
        <w:t>标段5</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马克思主义学院红色文化建设项目</w:t>
      </w:r>
      <w:r>
        <w:rPr>
          <w:rFonts w:hint="eastAsia" w:ascii="宋体" w:hAnsi="宋体" w:eastAsia="宋体" w:cs="宋体"/>
          <w:color w:val="auto"/>
          <w:kern w:val="0"/>
          <w:sz w:val="24"/>
          <w:highlight w:val="none"/>
          <w:lang w:eastAsia="zh-CN"/>
        </w:rPr>
        <w:t>：自合同签订之日起90个日历天内完成实施</w:t>
      </w:r>
      <w:r>
        <w:rPr>
          <w:rFonts w:hint="eastAsia" w:ascii="宋体" w:hAnsi="宋体" w:eastAsia="宋体" w:cs="宋体"/>
          <w:color w:val="auto"/>
          <w:kern w:val="0"/>
          <w:sz w:val="24"/>
          <w:highlight w:val="none"/>
          <w:lang w:val="en-US" w:eastAsia="zh-CN"/>
        </w:rPr>
        <w:t>并交付使用</w:t>
      </w:r>
      <w:r>
        <w:rPr>
          <w:rFonts w:hint="eastAsia" w:ascii="宋体" w:hAnsi="宋体" w:eastAsia="宋体" w:cs="宋体"/>
          <w:color w:val="auto"/>
          <w:kern w:val="0"/>
          <w:sz w:val="24"/>
          <w:highlight w:val="none"/>
          <w:lang w:eastAsia="zh-CN"/>
        </w:rPr>
        <w:t>。</w:t>
      </w:r>
    </w:p>
    <w:p w14:paraId="3D2AE4E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612E3C80">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2" w:name="_Toc17156"/>
      <w:bookmarkStart w:id="13" w:name="_Toc26997"/>
      <w:bookmarkStart w:id="14" w:name="_Toc26145"/>
      <w:bookmarkStart w:id="15" w:name="_Toc14850"/>
      <w:bookmarkStart w:id="16" w:name="_Toc24238"/>
      <w:r>
        <w:rPr>
          <w:rFonts w:hint="eastAsia" w:ascii="宋体" w:hAnsi="宋体" w:eastAsia="宋体" w:cs="宋体"/>
          <w:b/>
          <w:bCs/>
          <w:color w:val="auto"/>
          <w:sz w:val="24"/>
          <w:szCs w:val="21"/>
          <w:highlight w:val="none"/>
        </w:rPr>
        <w:t>二、投标人的资格要求</w:t>
      </w:r>
      <w:bookmarkEnd w:id="12"/>
      <w:bookmarkEnd w:id="13"/>
      <w:bookmarkEnd w:id="14"/>
      <w:bookmarkEnd w:id="15"/>
      <w:bookmarkEnd w:id="16"/>
    </w:p>
    <w:p w14:paraId="4674023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6852DC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40800E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77B639F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31F4B60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071EB3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458549E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2D228FDC">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2302B66F">
      <w:pPr>
        <w:keepNext w:val="0"/>
        <w:keepLines w:val="0"/>
        <w:pageBreakBefore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62ED0001">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56D176E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标段1：工业；标段2：批发业；标段3、4、5：软件和信息技术服务业。</w:t>
      </w:r>
    </w:p>
    <w:p w14:paraId="4D5C8DA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（三）本项目特定资格要求：</w:t>
      </w:r>
    </w:p>
    <w:p w14:paraId="14E557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rPr>
      </w:pPr>
      <w:r>
        <w:rPr>
          <w:rFonts w:hint="eastAsia" w:ascii="宋体" w:hAnsi="宋体" w:eastAsia="宋体" w:cs="宋体"/>
          <w:b w:val="0"/>
          <w:bCs w:val="0"/>
          <w:color w:val="auto"/>
          <w:sz w:val="24"/>
          <w:szCs w:val="21"/>
          <w:highlight w:val="none"/>
        </w:rPr>
        <w:t>标段2</w:t>
      </w:r>
      <w:r>
        <w:rPr>
          <w:rFonts w:hint="eastAsia" w:ascii="宋体" w:hAnsi="宋体" w:eastAsia="宋体" w:cs="宋体"/>
          <w:b w:val="0"/>
          <w:bCs w:val="0"/>
          <w:color w:val="auto"/>
          <w:sz w:val="24"/>
          <w:szCs w:val="21"/>
          <w:highlight w:val="none"/>
          <w:lang w:val="en-US" w:eastAsia="zh-CN"/>
        </w:rPr>
        <w:t xml:space="preserve"> </w:t>
      </w:r>
      <w:r>
        <w:rPr>
          <w:rFonts w:hint="eastAsia" w:ascii="宋体" w:hAnsi="宋体" w:cs="宋体"/>
          <w:b w:val="0"/>
          <w:bCs w:val="0"/>
          <w:color w:val="auto"/>
          <w:sz w:val="24"/>
          <w:szCs w:val="21"/>
          <w:highlight w:val="none"/>
          <w:lang w:eastAsia="zh-CN"/>
        </w:rPr>
        <w:t>图书采购（图书）项目</w:t>
      </w:r>
      <w:r>
        <w:rPr>
          <w:rFonts w:hint="eastAsia" w:ascii="宋体" w:hAnsi="宋体" w:eastAsia="宋体" w:cs="宋体"/>
          <w:b w:val="0"/>
          <w:bCs w:val="0"/>
          <w:color w:val="auto"/>
          <w:sz w:val="24"/>
          <w:szCs w:val="21"/>
          <w:highlight w:val="none"/>
        </w:rPr>
        <w:t>：</w:t>
      </w:r>
      <w:r>
        <w:rPr>
          <w:rFonts w:hint="eastAsia" w:ascii="宋体" w:hAnsi="宋体" w:eastAsia="宋体" w:cs="宋体"/>
          <w:b w:val="0"/>
          <w:bCs w:val="0"/>
          <w:color w:val="auto"/>
          <w:sz w:val="24"/>
          <w:szCs w:val="21"/>
          <w:highlight w:val="none"/>
          <w:lang w:eastAsia="zh-CN"/>
        </w:rPr>
        <w:t>投标人</w:t>
      </w:r>
      <w:r>
        <w:rPr>
          <w:rFonts w:hint="eastAsia" w:ascii="宋体" w:hAnsi="宋体" w:eastAsia="宋体" w:cs="宋体"/>
          <w:b w:val="0"/>
          <w:bCs w:val="0"/>
          <w:color w:val="auto"/>
          <w:sz w:val="24"/>
          <w:szCs w:val="21"/>
          <w:highlight w:val="none"/>
        </w:rPr>
        <w:t>须具有有效期内《中华人民共和国出版物发行证》或《中华人民共和国出版物经营许可证》，所经销的图书和出版物均为国家正式出版物。</w:t>
      </w:r>
    </w:p>
    <w:p w14:paraId="06EEE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lang w:val="en-US" w:eastAsia="zh-CN"/>
        </w:rPr>
      </w:pPr>
      <w:r>
        <w:rPr>
          <w:rFonts w:hint="eastAsia" w:ascii="宋体" w:hAnsi="宋体" w:eastAsia="宋体" w:cs="宋体"/>
          <w:b w:val="0"/>
          <w:bCs w:val="0"/>
          <w:color w:val="auto"/>
          <w:sz w:val="24"/>
          <w:szCs w:val="21"/>
          <w:highlight w:val="none"/>
          <w:lang w:val="en-US" w:eastAsia="zh-CN"/>
        </w:rPr>
        <w:t>其他标段：无</w:t>
      </w:r>
    </w:p>
    <w:p w14:paraId="41AAC8BF">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7" w:name="_Toc25585"/>
      <w:bookmarkStart w:id="18" w:name="_Toc8228"/>
      <w:bookmarkStart w:id="19" w:name="_Toc14914"/>
      <w:bookmarkStart w:id="20" w:name="_Toc16358"/>
      <w:bookmarkStart w:id="21" w:name="_Toc14648"/>
      <w:r>
        <w:rPr>
          <w:rFonts w:hint="eastAsia" w:ascii="宋体" w:hAnsi="宋体" w:eastAsia="宋体" w:cs="宋体"/>
          <w:b/>
          <w:bCs/>
          <w:color w:val="auto"/>
          <w:sz w:val="24"/>
          <w:szCs w:val="21"/>
          <w:highlight w:val="none"/>
        </w:rPr>
        <w:t>三、获取招标文件</w:t>
      </w:r>
      <w:bookmarkEnd w:id="17"/>
      <w:bookmarkEnd w:id="18"/>
      <w:bookmarkEnd w:id="19"/>
      <w:bookmarkEnd w:id="20"/>
      <w:bookmarkEnd w:id="21"/>
    </w:p>
    <w:p w14:paraId="10FB660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1"/>
          <w:highlight w:val="none"/>
        </w:rPr>
      </w:pPr>
      <w:bookmarkStart w:id="22" w:name="_Toc28359082"/>
      <w:r>
        <w:rPr>
          <w:rFonts w:hint="eastAsia" w:ascii="宋体" w:hAnsi="宋体" w:eastAsia="宋体" w:cs="宋体"/>
          <w:b/>
          <w:bCs/>
          <w:color w:val="auto"/>
          <w:sz w:val="24"/>
          <w:highlight w:val="none"/>
        </w:rPr>
        <w:t>1.时间：202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07</w:t>
      </w:r>
      <w:r>
        <w:rPr>
          <w:rFonts w:hint="eastAsia" w:ascii="宋体" w:hAnsi="宋体" w:eastAsia="宋体" w:cs="宋体"/>
          <w:b/>
          <w:bCs/>
          <w:color w:val="auto"/>
          <w:sz w:val="24"/>
          <w:highlight w:val="none"/>
        </w:rPr>
        <w:t>日起至202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13</w:t>
      </w:r>
      <w:r>
        <w:rPr>
          <w:rFonts w:hint="eastAsia" w:ascii="宋体" w:hAnsi="宋体" w:eastAsia="宋体" w:cs="宋体"/>
          <w:b/>
          <w:bCs/>
          <w:color w:val="auto"/>
          <w:sz w:val="24"/>
          <w:highlight w:val="none"/>
        </w:rPr>
        <w:t>日每天0</w:t>
      </w:r>
      <w:r>
        <w:rPr>
          <w:rFonts w:hint="eastAsia" w:ascii="宋体" w:hAnsi="宋体" w:cs="宋体"/>
          <w:b/>
          <w:bCs/>
          <w:color w:val="auto"/>
          <w:sz w:val="24"/>
          <w:highlight w:val="none"/>
          <w:lang w:val="en-US" w:eastAsia="zh-CN"/>
        </w:rPr>
        <w:t>6</w:t>
      </w:r>
      <w:r>
        <w:rPr>
          <w:rFonts w:hint="eastAsia" w:ascii="宋体" w:hAnsi="宋体" w:eastAsia="宋体" w:cs="宋体"/>
          <w:b/>
          <w:bCs/>
          <w:color w:val="auto"/>
          <w:sz w:val="24"/>
          <w:highlight w:val="none"/>
        </w:rPr>
        <w:t>：00-12：00，12：00-23：59时（北京时间，法定节假日除外）。</w:t>
      </w:r>
    </w:p>
    <w:p w14:paraId="63C8C311">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2.地点：政采云平台（https://www.zcygov.cn/）线上获取。</w:t>
      </w:r>
    </w:p>
    <w:p w14:paraId="4ED3F36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方式：①凡有意参加投标者，须在政采云平台办理数字证书（CA），并在政采云绑定数字证书（CA）后线上获取采购文件及其它采购资料。CA申领链接https://middle.zcygov.cn/ca/apply/list?_app_=zcy.sys，CA申领后需登陆政采云平台完成数字证书（CA）绑定才可以使用，数字证书（CA）详见其办理流程。</w:t>
      </w:r>
    </w:p>
    <w:p w14:paraId="6569027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②按上述要求获取文件的</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视为合法获取了本项目采购文件，具备本项目的投标资格。</w:t>
      </w:r>
    </w:p>
    <w:p w14:paraId="0D39551C">
      <w:pPr>
        <w:pStyle w:val="17"/>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sz w:val="24"/>
          <w:szCs w:val="21"/>
          <w:highlight w:val="none"/>
        </w:rPr>
        <w:t>4.售价：0元。</w:t>
      </w:r>
    </w:p>
    <w:p w14:paraId="75C851E8">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23" w:name="_Toc7541"/>
      <w:bookmarkStart w:id="24" w:name="_Toc28452"/>
      <w:bookmarkStart w:id="25" w:name="_Toc27590"/>
      <w:bookmarkStart w:id="26" w:name="_Toc2045"/>
      <w:bookmarkStart w:id="27" w:name="_Toc30509"/>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2"/>
      <w:r>
        <w:rPr>
          <w:rFonts w:hint="eastAsia" w:ascii="宋体" w:hAnsi="宋体" w:eastAsia="宋体" w:cs="宋体"/>
          <w:b/>
          <w:bCs/>
          <w:color w:val="auto"/>
          <w:sz w:val="24"/>
          <w:szCs w:val="21"/>
          <w:highlight w:val="none"/>
        </w:rPr>
        <w:fldChar w:fldCharType="end"/>
      </w:r>
      <w:bookmarkStart w:id="28" w:name="_Toc28359005"/>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8"/>
      <w:r>
        <w:rPr>
          <w:rFonts w:hint="eastAsia" w:ascii="宋体" w:hAnsi="宋体" w:eastAsia="宋体" w:cs="宋体"/>
          <w:b/>
          <w:bCs/>
          <w:color w:val="auto"/>
          <w:sz w:val="24"/>
          <w:szCs w:val="21"/>
          <w:highlight w:val="none"/>
        </w:rPr>
        <w:fldChar w:fldCharType="end"/>
      </w:r>
      <w:bookmarkStart w:id="29" w:name="_Toc35393624"/>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9"/>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四、提交投标文件截止时间、开标时间和地点</w:t>
      </w:r>
      <w:bookmarkEnd w:id="23"/>
      <w:bookmarkEnd w:id="24"/>
      <w:bookmarkEnd w:id="25"/>
      <w:bookmarkEnd w:id="26"/>
      <w:bookmarkEnd w:id="27"/>
    </w:p>
    <w:p w14:paraId="003DE1C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1.投标文件递交截止时间及开标时间：2026年0</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月</w:t>
      </w:r>
      <w:r>
        <w:rPr>
          <w:rFonts w:hint="eastAsia" w:ascii="宋体" w:hAnsi="宋体" w:cs="宋体"/>
          <w:color w:val="auto"/>
          <w:sz w:val="24"/>
          <w:szCs w:val="21"/>
          <w:highlight w:val="none"/>
          <w:lang w:val="en-US" w:eastAsia="zh-CN"/>
        </w:rPr>
        <w:t>29</w:t>
      </w:r>
      <w:r>
        <w:rPr>
          <w:rFonts w:hint="eastAsia" w:ascii="宋体" w:hAnsi="宋体" w:eastAsia="宋体" w:cs="宋体"/>
          <w:color w:val="auto"/>
          <w:sz w:val="24"/>
          <w:szCs w:val="21"/>
          <w:highlight w:val="none"/>
        </w:rPr>
        <w:t>日09时00分（北京时间）。</w:t>
      </w:r>
    </w:p>
    <w:p w14:paraId="2483091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2.投标文件递交地点及开标地点：请登录政采云平台（https://www.zcygov.cn/）投标客户端投标。</w:t>
      </w:r>
    </w:p>
    <w:p w14:paraId="5DFA53C6">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0" w:name="_Toc13758"/>
      <w:bookmarkStart w:id="31" w:name="_Toc9145"/>
      <w:bookmarkStart w:id="32" w:name="_Toc29453"/>
      <w:bookmarkStart w:id="33" w:name="_Toc25495"/>
      <w:bookmarkStart w:id="34" w:name="_Toc12644"/>
      <w:r>
        <w:rPr>
          <w:rFonts w:hint="eastAsia" w:ascii="宋体" w:hAnsi="宋体" w:eastAsia="宋体" w:cs="宋体"/>
          <w:b/>
          <w:bCs/>
          <w:color w:val="auto"/>
          <w:sz w:val="24"/>
          <w:szCs w:val="21"/>
          <w:highlight w:val="none"/>
        </w:rPr>
        <w:t>五、公告期限</w:t>
      </w:r>
      <w:bookmarkEnd w:id="30"/>
      <w:bookmarkEnd w:id="31"/>
      <w:bookmarkEnd w:id="32"/>
      <w:bookmarkEnd w:id="33"/>
      <w:bookmarkEnd w:id="34"/>
    </w:p>
    <w:p w14:paraId="23FB77D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14:paraId="465F3A1C">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5" w:name="_Toc35393626"/>
      <w:bookmarkStart w:id="36" w:name="_Toc3444"/>
      <w:bookmarkStart w:id="37" w:name="_Toc22820"/>
      <w:bookmarkStart w:id="38" w:name="_Toc29451"/>
      <w:bookmarkStart w:id="39" w:name="_Toc8318"/>
      <w:bookmarkStart w:id="40" w:name="_Toc25371"/>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35"/>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六、其他补充事宜</w:t>
      </w:r>
      <w:bookmarkEnd w:id="36"/>
      <w:bookmarkEnd w:id="37"/>
      <w:bookmarkEnd w:id="38"/>
      <w:bookmarkEnd w:id="39"/>
      <w:bookmarkEnd w:id="40"/>
    </w:p>
    <w:p w14:paraId="1A810FB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1.开标方式：网上开标</w:t>
      </w:r>
    </w:p>
    <w:p w14:paraId="07DFA8B7">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是否需要缴纳投标保证金：是</w:t>
      </w:r>
    </w:p>
    <w:p w14:paraId="387C778B">
      <w:pPr>
        <w:pStyle w:val="15"/>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投标保证金</w:t>
      </w:r>
      <w:r>
        <w:rPr>
          <w:rFonts w:hint="eastAsia" w:ascii="宋体" w:hAnsi="宋体" w:eastAsia="宋体" w:cs="宋体"/>
          <w:color w:val="auto"/>
          <w:highlight w:val="none"/>
          <w:lang w:val="en-US" w:eastAsia="zh-CN"/>
        </w:rPr>
        <w:t>金额：</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3000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14000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7500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p>
    <w:p w14:paraId="2FFF4945">
      <w:pPr>
        <w:pStyle w:val="15"/>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根据《云南省发展和改革委员会等部门关于鼓励减免政府投资项目投标保证金的通知》（云发改交易管理〔2023〕397号），政府投资项目进行招标投标活动时，减免投标保证金，降幅不得低于现收取数额的50%的要求。本项目投标保证金降幅严格按照要求执行。</w:t>
      </w:r>
    </w:p>
    <w:p w14:paraId="4E94C4DC">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2AED5DC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保证金缴纳截止时间：同开标截止时间</w:t>
      </w:r>
    </w:p>
    <w:p w14:paraId="338FC8E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2.开户信息</w:t>
      </w:r>
    </w:p>
    <w:p w14:paraId="1E25456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户名：云南梧桐建设工程管理有限公司</w:t>
      </w:r>
    </w:p>
    <w:p w14:paraId="0D29EB9A">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开户行：兴业银行昆明小康大道支行</w:t>
      </w:r>
    </w:p>
    <w:p w14:paraId="461D1696">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Cs/>
          <w:color w:val="auto"/>
          <w:sz w:val="24"/>
          <w:highlight w:val="none"/>
        </w:rPr>
        <w:t>账户：471220100100090072</w:t>
      </w:r>
    </w:p>
    <w:p w14:paraId="58C40E1B">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3.投标文件的递交</w:t>
      </w:r>
    </w:p>
    <w:p w14:paraId="0F7D24B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网上递交：网上递交网址为政采云平台（https://www.zcygov.cn/），各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应在开标前应确保成为政采云平台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，并完成CA数字证书申领。因未注册入库、未办理CA数字证书等原因造成无法投标或投标失败等后果由</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自行承担。投标人须在投标截止时间前完成所有投标文件的上传，投标截止时间前未完成投标文件上传的，视为撤回投标文件。若投标人未在规定时间完成解密的（如：无法解密、网络故障、未安装相关驱动、浏览器故障、加密CA与解密CA不一致等），则视为撤销其投标文件，不再进入评标阶段。开标过程中如有问题，可以发起在线异议，由代理机构给予对应的回复，在规定的异议询问时间内未提出异议的，则视为对开标结果无异议。</w:t>
      </w:r>
    </w:p>
    <w:p w14:paraId="6B1B2B7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注：任何因忽视或误解而导致投标文件未上传或已上传但未按规定的操作流程及时间要求进行解密的，由投标人自行负责。</w:t>
      </w:r>
    </w:p>
    <w:p w14:paraId="273B5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4.发布公告的媒介：本次招标公告在《云南省政府采购网》上公开发布，采购人及采购代理机构对其他网站转载本公告的内容不负任何责任。</w:t>
      </w:r>
    </w:p>
    <w:p w14:paraId="0FCE2EDD">
      <w:pPr>
        <w:keepNext w:val="0"/>
        <w:keepLines w:val="0"/>
        <w:pageBreakBefore w:val="0"/>
        <w:widowControl/>
        <w:kinsoku/>
        <w:wordWrap/>
        <w:overflowPunct/>
        <w:topLinePunct w:val="0"/>
        <w:autoSpaceDE/>
        <w:autoSpaceDN/>
        <w:bidi w:val="0"/>
        <w:spacing w:line="360" w:lineRule="auto"/>
        <w:jc w:val="left"/>
        <w:textAlignment w:val="auto"/>
        <w:outlineLvl w:val="1"/>
        <w:rPr>
          <w:rFonts w:hint="eastAsia" w:ascii="宋体" w:hAnsi="宋体" w:eastAsia="宋体" w:cs="宋体"/>
          <w:b/>
          <w:bCs/>
          <w:color w:val="auto"/>
          <w:kern w:val="0"/>
          <w:sz w:val="24"/>
          <w:highlight w:val="none"/>
        </w:rPr>
      </w:pPr>
      <w:bookmarkStart w:id="41" w:name="_Toc21412"/>
      <w:bookmarkStart w:id="42" w:name="_Toc32552"/>
      <w:bookmarkStart w:id="43" w:name="_Toc11523"/>
      <w:bookmarkStart w:id="44" w:name="_Toc17355"/>
      <w:bookmarkStart w:id="45" w:name="_Toc4350"/>
      <w:r>
        <w:rPr>
          <w:rFonts w:hint="eastAsia" w:ascii="宋体" w:hAnsi="宋体" w:eastAsia="宋体" w:cs="宋体"/>
          <w:b/>
          <w:bCs/>
          <w:color w:val="auto"/>
          <w:sz w:val="24"/>
          <w:szCs w:val="21"/>
          <w:highlight w:val="none"/>
        </w:rPr>
        <w:t>七、对本次招标提出询问，请按以下方式联系</w:t>
      </w:r>
      <w:bookmarkEnd w:id="41"/>
      <w:bookmarkEnd w:id="42"/>
      <w:bookmarkEnd w:id="43"/>
      <w:bookmarkEnd w:id="44"/>
      <w:bookmarkEnd w:id="45"/>
    </w:p>
    <w:bookmarkEnd w:id="6"/>
    <w:p w14:paraId="47845B5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1.采购人信息</w:t>
      </w:r>
    </w:p>
    <w:p w14:paraId="308A3A3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名称：玉溪职业技术学院（云南省玉溪工业财贸学校）</w:t>
      </w:r>
    </w:p>
    <w:p w14:paraId="6CFEEE0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r>
        <w:rPr>
          <w:rFonts w:hint="eastAsia" w:ascii="宋体" w:hAnsi="宋体" w:eastAsia="宋体" w:cs="宋体"/>
          <w:color w:val="auto"/>
          <w:sz w:val="24"/>
          <w:highlight w:val="none"/>
        </w:rPr>
        <w:t>玉溪市红塔区科创大道9号</w:t>
      </w:r>
    </w:p>
    <w:p w14:paraId="0E2AD2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联系方式：0877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8885193</w:t>
      </w:r>
    </w:p>
    <w:p w14:paraId="632957A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2.代理机构信息</w:t>
      </w:r>
    </w:p>
    <w:p w14:paraId="5FD9FB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名称：云南梧桐建设工程管理有限公司 </w:t>
      </w:r>
    </w:p>
    <w:p w14:paraId="0929CEC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地址：云南省昆明市五华区小康大道580号银河北庭8栋首座商务中心写字楼19楼</w:t>
      </w:r>
    </w:p>
    <w:p w14:paraId="634B36D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w:t>
      </w:r>
      <w:r>
        <w:rPr>
          <w:rFonts w:hint="eastAsia" w:ascii="宋体" w:hAnsi="宋体" w:eastAsia="宋体" w:cs="宋体"/>
          <w:color w:val="auto"/>
          <w:kern w:val="0"/>
          <w:sz w:val="24"/>
          <w:szCs w:val="24"/>
          <w:highlight w:val="none"/>
          <w:lang w:val="en-US" w:eastAsia="zh-CN"/>
        </w:rPr>
        <w:t>16687077797</w:t>
      </w:r>
    </w:p>
    <w:p w14:paraId="693AF6A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3.项目联系方式</w:t>
      </w:r>
    </w:p>
    <w:p w14:paraId="36BD900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r>
        <w:rPr>
          <w:rFonts w:hint="eastAsia" w:ascii="宋体" w:hAnsi="宋体" w:eastAsia="宋体" w:cs="宋体"/>
          <w:color w:val="auto"/>
          <w:kern w:val="0"/>
          <w:sz w:val="24"/>
          <w:szCs w:val="24"/>
          <w:highlight w:val="none"/>
          <w:lang w:val="en-US" w:eastAsia="zh-CN"/>
        </w:rPr>
        <w:t>卜</w:t>
      </w:r>
      <w:r>
        <w:rPr>
          <w:rFonts w:hint="eastAsia" w:ascii="宋体" w:hAnsi="宋体" w:eastAsia="宋体" w:cs="宋体"/>
          <w:color w:val="auto"/>
          <w:kern w:val="0"/>
          <w:sz w:val="24"/>
          <w:szCs w:val="24"/>
          <w:highlight w:val="none"/>
        </w:rPr>
        <w:t>工</w:t>
      </w:r>
    </w:p>
    <w:p w14:paraId="565C36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联系方式：</w:t>
      </w:r>
      <w:r>
        <w:rPr>
          <w:rFonts w:hint="eastAsia" w:ascii="宋体" w:hAnsi="宋体" w:eastAsia="宋体" w:cs="宋体"/>
          <w:color w:val="auto"/>
          <w:kern w:val="0"/>
          <w:sz w:val="24"/>
          <w:szCs w:val="24"/>
          <w:highlight w:val="none"/>
          <w:lang w:val="en-US" w:eastAsia="zh-CN"/>
        </w:rPr>
        <w:t>16687077797</w:t>
      </w:r>
    </w:p>
    <w:p w14:paraId="57A550C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4.技术支持 </w:t>
      </w:r>
    </w:p>
    <w:p w14:paraId="0F6467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政采云有限公司</w:t>
      </w:r>
    </w:p>
    <w:p w14:paraId="1FAC891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kern w:val="0"/>
          <w:sz w:val="24"/>
          <w:highlight w:val="none"/>
        </w:rPr>
        <w:t>咨询服务电话：400-881-7190</w:t>
      </w:r>
    </w:p>
    <w:p w14:paraId="792A1138">
      <w:pPr>
        <w:widowControl/>
        <w:spacing w:line="360" w:lineRule="auto"/>
        <w:ind w:firstLine="720" w:firstLineChars="200"/>
        <w:jc w:val="left"/>
        <w:rPr>
          <w:rFonts w:hint="eastAsia" w:ascii="宋体" w:hAnsi="宋体" w:eastAsia="宋体" w:cs="宋体"/>
          <w:bCs/>
          <w:color w:val="auto"/>
          <w:sz w:val="36"/>
          <w:highlight w:val="none"/>
        </w:rPr>
      </w:pPr>
      <w:r>
        <w:rPr>
          <w:rFonts w:hint="eastAsia" w:ascii="宋体" w:hAnsi="宋体" w:eastAsia="宋体" w:cs="宋体"/>
          <w:bCs/>
          <w:color w:val="auto"/>
          <w:sz w:val="36"/>
          <w:highlight w:val="none"/>
        </w:rPr>
        <w:br w:type="page"/>
      </w:r>
    </w:p>
    <w:p w14:paraId="206768F5">
      <w:pPr>
        <w:widowControl/>
        <w:spacing w:line="360" w:lineRule="auto"/>
        <w:jc w:val="center"/>
        <w:outlineLvl w:val="0"/>
        <w:rPr>
          <w:rFonts w:hint="eastAsia" w:ascii="宋体" w:hAnsi="宋体" w:eastAsia="宋体" w:cs="宋体"/>
          <w:b/>
          <w:bCs/>
          <w:color w:val="auto"/>
          <w:kern w:val="44"/>
          <w:sz w:val="36"/>
          <w:szCs w:val="20"/>
          <w:highlight w:val="none"/>
        </w:rPr>
      </w:pPr>
      <w:bookmarkStart w:id="46" w:name="_Toc6356"/>
      <w:r>
        <w:rPr>
          <w:rFonts w:hint="eastAsia" w:ascii="宋体" w:hAnsi="宋体" w:eastAsia="宋体" w:cs="宋体"/>
          <w:b/>
          <w:bCs/>
          <w:color w:val="auto"/>
          <w:kern w:val="44"/>
          <w:sz w:val="36"/>
          <w:szCs w:val="20"/>
          <w:highlight w:val="none"/>
        </w:rPr>
        <w:t>第二章  投标人须知</w:t>
      </w:r>
      <w:bookmarkEnd w:id="3"/>
      <w:bookmarkEnd w:id="4"/>
      <w:bookmarkEnd w:id="46"/>
    </w:p>
    <w:p w14:paraId="3A325386">
      <w:pPr>
        <w:pStyle w:val="4"/>
        <w:spacing w:before="0"/>
        <w:jc w:val="center"/>
        <w:rPr>
          <w:rFonts w:hint="eastAsia" w:ascii="宋体" w:hAnsi="宋体" w:eastAsia="宋体" w:cs="宋体"/>
          <w:color w:val="auto"/>
          <w:szCs w:val="28"/>
          <w:highlight w:val="none"/>
        </w:rPr>
      </w:pPr>
      <w:bookmarkStart w:id="47" w:name="_Toc5044"/>
      <w:bookmarkStart w:id="48" w:name="_Toc19808"/>
      <w:bookmarkStart w:id="49" w:name="_Toc1459"/>
      <w:bookmarkStart w:id="50" w:name="_Toc17914"/>
      <w:r>
        <w:rPr>
          <w:rFonts w:hint="eastAsia" w:ascii="宋体" w:hAnsi="宋体" w:eastAsia="宋体" w:cs="宋体"/>
          <w:color w:val="auto"/>
          <w:szCs w:val="28"/>
          <w:highlight w:val="none"/>
        </w:rPr>
        <w:t>投标人须知前附表</w:t>
      </w:r>
      <w:bookmarkEnd w:id="47"/>
      <w:bookmarkEnd w:id="48"/>
      <w:bookmarkEnd w:id="49"/>
      <w:bookmarkEnd w:id="50"/>
    </w:p>
    <w:tbl>
      <w:tblPr>
        <w:tblStyle w:val="42"/>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750"/>
        <w:gridCol w:w="6624"/>
      </w:tblGrid>
      <w:tr w14:paraId="5592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75" w:type="dxa"/>
            <w:vAlign w:val="center"/>
          </w:tcPr>
          <w:p w14:paraId="37BB1153">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1750" w:type="dxa"/>
            <w:vAlign w:val="center"/>
          </w:tcPr>
          <w:p w14:paraId="1E94683C">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 款 名 称</w:t>
            </w:r>
          </w:p>
        </w:tc>
        <w:tc>
          <w:tcPr>
            <w:tcW w:w="6624" w:type="dxa"/>
            <w:vAlign w:val="center"/>
          </w:tcPr>
          <w:p w14:paraId="3E6F796C">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编 列 内 容</w:t>
            </w:r>
          </w:p>
        </w:tc>
      </w:tr>
      <w:tr w14:paraId="1488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atLeast"/>
          <w:jc w:val="center"/>
        </w:trPr>
        <w:tc>
          <w:tcPr>
            <w:tcW w:w="975" w:type="dxa"/>
            <w:vAlign w:val="center"/>
          </w:tcPr>
          <w:p w14:paraId="5DAA469D">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50" w:type="dxa"/>
            <w:vAlign w:val="center"/>
          </w:tcPr>
          <w:p w14:paraId="6863EA5F">
            <w:pPr>
              <w:pStyle w:val="21"/>
              <w:spacing w:line="360" w:lineRule="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采购人</w:t>
            </w:r>
          </w:p>
        </w:tc>
        <w:tc>
          <w:tcPr>
            <w:tcW w:w="6624" w:type="dxa"/>
            <w:vAlign w:val="center"/>
          </w:tcPr>
          <w:p w14:paraId="2BE2329F">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名称：玉溪职业技术学院（云南省玉溪工业财贸学校）</w:t>
            </w:r>
          </w:p>
          <w:p w14:paraId="46FDFED5">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地址：玉溪市红塔区科创大道9号</w:t>
            </w:r>
          </w:p>
          <w:p w14:paraId="375EBE10">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联系人：韩老师</w:t>
            </w:r>
          </w:p>
          <w:p w14:paraId="7CE2EA22">
            <w:pPr>
              <w:widowControl/>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lang w:val="en-US" w:eastAsia="zh-CN" w:bidi="ar-SA"/>
              </w:rPr>
              <w:t>联系方式：13887768542</w:t>
            </w:r>
          </w:p>
        </w:tc>
      </w:tr>
      <w:tr w14:paraId="737A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jc w:val="center"/>
        </w:trPr>
        <w:tc>
          <w:tcPr>
            <w:tcW w:w="975" w:type="dxa"/>
            <w:vAlign w:val="center"/>
          </w:tcPr>
          <w:p w14:paraId="62C7B4C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750" w:type="dxa"/>
            <w:vAlign w:val="center"/>
          </w:tcPr>
          <w:p w14:paraId="22702C90">
            <w:pPr>
              <w:pStyle w:val="21"/>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采购代理机构</w:t>
            </w:r>
          </w:p>
        </w:tc>
        <w:tc>
          <w:tcPr>
            <w:tcW w:w="6624" w:type="dxa"/>
            <w:vAlign w:val="center"/>
          </w:tcPr>
          <w:p w14:paraId="34936F66">
            <w:pPr>
              <w:pStyle w:val="21"/>
              <w:pageBreakBefore w:val="0"/>
              <w:kinsoku/>
              <w:wordWrap/>
              <w:overflowPunct/>
              <w:topLinePunct w:val="0"/>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采购代理机构：云南梧桐建设工程管理有限公司</w:t>
            </w:r>
          </w:p>
          <w:p w14:paraId="532EC789">
            <w:pPr>
              <w:pStyle w:val="21"/>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玉溪分公司地址：玉溪市红塔区秀山路沙坝商务楼B座405</w:t>
            </w:r>
          </w:p>
          <w:p w14:paraId="36269CA0">
            <w:pPr>
              <w:pageBreakBefore w:val="0"/>
              <w:widowControl w:val="0"/>
              <w:kinsoku/>
              <w:overflowPunct/>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联系人：卜工</w:t>
            </w:r>
          </w:p>
          <w:p w14:paraId="0CA0FED8">
            <w:pPr>
              <w:widowControl/>
              <w:spacing w:line="360" w:lineRule="auto"/>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联系电话：16687077797</w:t>
            </w:r>
          </w:p>
        </w:tc>
      </w:tr>
      <w:tr w14:paraId="78F6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975" w:type="dxa"/>
            <w:vAlign w:val="center"/>
          </w:tcPr>
          <w:p w14:paraId="4F22860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750" w:type="dxa"/>
            <w:vAlign w:val="center"/>
          </w:tcPr>
          <w:p w14:paraId="7A7CDE1C">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项目名称及标段名称</w:t>
            </w:r>
          </w:p>
        </w:tc>
        <w:tc>
          <w:tcPr>
            <w:tcW w:w="6624" w:type="dxa"/>
            <w:vAlign w:val="center"/>
          </w:tcPr>
          <w:p w14:paraId="2361C605">
            <w:pPr>
              <w:pStyle w:val="21"/>
              <w:spacing w:line="360" w:lineRule="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项目名称：</w:t>
            </w:r>
            <w:r>
              <w:rPr>
                <w:rFonts w:hint="eastAsia" w:hAnsi="宋体" w:cs="宋体"/>
                <w:color w:val="auto"/>
                <w:kern w:val="0"/>
                <w:sz w:val="24"/>
                <w:szCs w:val="24"/>
                <w:highlight w:val="none"/>
                <w:lang w:eastAsia="zh-CN"/>
              </w:rPr>
              <w:t>玉溪职业技术学院（云南省玉溪工业财贸学校）改善办学条件采购项目</w:t>
            </w:r>
          </w:p>
          <w:p w14:paraId="053EAAA7">
            <w:pPr>
              <w:pStyle w:val="21"/>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标段号及名称：标段1 </w:t>
            </w:r>
            <w:r>
              <w:rPr>
                <w:rFonts w:hint="eastAsia" w:hAnsi="宋体" w:cs="宋体"/>
                <w:color w:val="auto"/>
                <w:kern w:val="0"/>
                <w:sz w:val="24"/>
                <w:szCs w:val="24"/>
                <w:highlight w:val="none"/>
                <w:lang w:val="en-US" w:eastAsia="zh-CN"/>
              </w:rPr>
              <w:t>图书采购（图书配套设施设备）项目</w:t>
            </w:r>
          </w:p>
        </w:tc>
      </w:tr>
      <w:tr w14:paraId="56986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975" w:type="dxa"/>
            <w:vAlign w:val="center"/>
          </w:tcPr>
          <w:p w14:paraId="20A8B8C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750" w:type="dxa"/>
            <w:vAlign w:val="center"/>
          </w:tcPr>
          <w:p w14:paraId="03C587BC">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预算金额（最高限价）</w:t>
            </w:r>
          </w:p>
        </w:tc>
        <w:tc>
          <w:tcPr>
            <w:tcW w:w="6624" w:type="dxa"/>
            <w:vAlign w:val="center"/>
          </w:tcPr>
          <w:p w14:paraId="352BB37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rPr>
              <w:t>小写：¥306600.00元；大写：人民币叁拾万陆仟陆佰元整</w:t>
            </w:r>
            <w:r>
              <w:rPr>
                <w:rFonts w:hint="eastAsia" w:ascii="宋体" w:hAnsi="宋体" w:eastAsia="宋体" w:cs="宋体"/>
                <w:b/>
                <w:bCs/>
                <w:color w:val="auto"/>
                <w:kern w:val="0"/>
                <w:sz w:val="24"/>
                <w:highlight w:val="none"/>
                <w:lang w:val="en-US" w:eastAsia="zh-CN"/>
              </w:rPr>
              <w:t>；</w:t>
            </w:r>
          </w:p>
          <w:p w14:paraId="0B084053">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注：投标人的投标总价不能超过招标人公布的最高限价，否则按无效投标处理。</w:t>
            </w:r>
          </w:p>
        </w:tc>
      </w:tr>
      <w:tr w14:paraId="32DA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75" w:type="dxa"/>
            <w:vAlign w:val="center"/>
          </w:tcPr>
          <w:p w14:paraId="30273E2B">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750" w:type="dxa"/>
            <w:vAlign w:val="center"/>
          </w:tcPr>
          <w:p w14:paraId="6C88CBFD">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采购需求</w:t>
            </w:r>
          </w:p>
        </w:tc>
        <w:tc>
          <w:tcPr>
            <w:tcW w:w="6624" w:type="dxa"/>
            <w:vAlign w:val="center"/>
          </w:tcPr>
          <w:p w14:paraId="570696FB">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完成</w:t>
            </w:r>
            <w:r>
              <w:rPr>
                <w:rFonts w:hint="eastAsia" w:ascii="宋体" w:hAnsi="宋体" w:cs="宋体"/>
                <w:color w:val="auto"/>
                <w:kern w:val="0"/>
                <w:sz w:val="24"/>
                <w:highlight w:val="none"/>
                <w:lang w:eastAsia="zh-CN"/>
              </w:rPr>
              <w:t>图书采购（图书配套设施设备）</w:t>
            </w:r>
            <w:r>
              <w:rPr>
                <w:rFonts w:hint="eastAsia" w:ascii="宋体" w:hAnsi="宋体" w:eastAsia="宋体" w:cs="宋体"/>
                <w:color w:val="auto"/>
                <w:kern w:val="0"/>
                <w:sz w:val="24"/>
                <w:szCs w:val="24"/>
                <w:highlight w:val="none"/>
                <w:lang w:eastAsia="zh-CN"/>
              </w:rPr>
              <w:t>采购</w:t>
            </w:r>
            <w:r>
              <w:rPr>
                <w:rFonts w:hint="eastAsia" w:ascii="宋体" w:hAnsi="宋体" w:eastAsia="宋体" w:cs="宋体"/>
                <w:color w:val="auto"/>
                <w:kern w:val="0"/>
                <w:sz w:val="24"/>
                <w:szCs w:val="24"/>
                <w:highlight w:val="none"/>
              </w:rPr>
              <w:t>，具体内容详见第</w:t>
            </w:r>
            <w:r>
              <w:rPr>
                <w:rFonts w:hint="eastAsia" w:ascii="宋体" w:hAnsi="宋体" w:eastAsia="宋体" w:cs="宋体"/>
                <w:color w:val="auto"/>
                <w:kern w:val="0"/>
                <w:sz w:val="24"/>
                <w:szCs w:val="24"/>
                <w:highlight w:val="none"/>
                <w:lang w:val="en-US" w:eastAsia="zh-CN"/>
              </w:rPr>
              <w:t>四</w:t>
            </w:r>
            <w:r>
              <w:rPr>
                <w:rFonts w:hint="eastAsia" w:ascii="宋体" w:hAnsi="宋体" w:eastAsia="宋体" w:cs="宋体"/>
                <w:color w:val="auto"/>
                <w:kern w:val="0"/>
                <w:sz w:val="24"/>
                <w:szCs w:val="24"/>
                <w:highlight w:val="none"/>
              </w:rPr>
              <w:t>章“采购需求”。</w:t>
            </w:r>
          </w:p>
        </w:tc>
      </w:tr>
      <w:tr w14:paraId="3763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13FF83FA">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750" w:type="dxa"/>
            <w:vAlign w:val="center"/>
          </w:tcPr>
          <w:p w14:paraId="4C76C9FD">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合同履行期限</w:t>
            </w:r>
          </w:p>
        </w:tc>
        <w:tc>
          <w:tcPr>
            <w:tcW w:w="6624" w:type="dxa"/>
          </w:tcPr>
          <w:p w14:paraId="042FC349">
            <w:pPr>
              <w:pStyle w:val="21"/>
              <w:spacing w:line="360" w:lineRule="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highlight w:val="none"/>
              </w:rPr>
              <w:t>合同签订后15个日历天内完成供货和安装调试并交付使用。</w:t>
            </w:r>
          </w:p>
        </w:tc>
      </w:tr>
      <w:tr w14:paraId="625F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7BBAB99A">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750" w:type="dxa"/>
            <w:vAlign w:val="center"/>
          </w:tcPr>
          <w:p w14:paraId="456F488C">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项目实施地点</w:t>
            </w:r>
          </w:p>
        </w:tc>
        <w:tc>
          <w:tcPr>
            <w:tcW w:w="6624" w:type="dxa"/>
            <w:vAlign w:val="center"/>
          </w:tcPr>
          <w:p w14:paraId="593F0996">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人指定地点</w:t>
            </w:r>
          </w:p>
        </w:tc>
      </w:tr>
      <w:tr w14:paraId="179E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08B5419D">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750" w:type="dxa"/>
            <w:vAlign w:val="center"/>
          </w:tcPr>
          <w:p w14:paraId="2CA2E5F9">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质保期</w:t>
            </w:r>
          </w:p>
        </w:tc>
        <w:tc>
          <w:tcPr>
            <w:tcW w:w="6624" w:type="dxa"/>
          </w:tcPr>
          <w:p w14:paraId="005D554E">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质保期≥</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年；质保期内提供免费保修服务</w:t>
            </w:r>
          </w:p>
        </w:tc>
      </w:tr>
      <w:tr w14:paraId="15C6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2F3B404C">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1750" w:type="dxa"/>
            <w:vAlign w:val="center"/>
          </w:tcPr>
          <w:p w14:paraId="0F1E623C">
            <w:pPr>
              <w:pStyle w:val="21"/>
              <w:spacing w:line="360" w:lineRule="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质量标准</w:t>
            </w:r>
          </w:p>
        </w:tc>
        <w:tc>
          <w:tcPr>
            <w:tcW w:w="6624" w:type="dxa"/>
          </w:tcPr>
          <w:p w14:paraId="1BAB4D73">
            <w:pPr>
              <w:widowControl/>
              <w:spacing w:line="360" w:lineRule="auto"/>
              <w:jc w:val="left"/>
              <w:rPr>
                <w:rFonts w:hint="eastAsia" w:ascii="宋体" w:hAnsi="宋体" w:eastAsia="宋体" w:cs="宋体"/>
                <w:snapToGrid w:val="0"/>
                <w:color w:val="auto"/>
                <w:kern w:val="0"/>
                <w:sz w:val="24"/>
                <w:highlight w:val="none"/>
              </w:rPr>
            </w:pPr>
            <w:r>
              <w:rPr>
                <w:rFonts w:hint="eastAsia" w:ascii="宋体" w:hAnsi="宋体" w:eastAsia="宋体" w:cs="宋体"/>
                <w:color w:val="auto"/>
                <w:kern w:val="0"/>
                <w:sz w:val="24"/>
                <w:highlight w:val="none"/>
              </w:rPr>
              <w:t>达到国家、行业现行验收标准，一次性验收合格</w:t>
            </w:r>
          </w:p>
        </w:tc>
      </w:tr>
      <w:tr w14:paraId="08C9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75" w:type="dxa"/>
            <w:vAlign w:val="center"/>
          </w:tcPr>
          <w:p w14:paraId="0B1953AB">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1750" w:type="dxa"/>
            <w:vAlign w:val="center"/>
          </w:tcPr>
          <w:p w14:paraId="65AB79D8">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tc>
        <w:tc>
          <w:tcPr>
            <w:tcW w:w="6624" w:type="dxa"/>
          </w:tcPr>
          <w:p w14:paraId="37FDE34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39B010C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550A303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01B501D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5725974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7ADAE77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191A108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4EA9DAFB">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33D42FCE">
            <w:pPr>
              <w:keepNext w:val="0"/>
              <w:keepLines w:val="0"/>
              <w:pageBreakBefore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2BDB97CE">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63F9D05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工业。</w:t>
            </w:r>
          </w:p>
          <w:p w14:paraId="4F7E84FE">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highlight w:val="none"/>
                <w:lang w:eastAsia="zh-CN"/>
              </w:rPr>
            </w:pPr>
            <w:r>
              <w:rPr>
                <w:rFonts w:hint="eastAsia" w:ascii="宋体" w:hAnsi="宋体" w:eastAsia="宋体" w:cs="宋体"/>
                <w:b/>
                <w:bCs/>
                <w:color w:val="auto"/>
                <w:sz w:val="24"/>
                <w:szCs w:val="21"/>
                <w:highlight w:val="none"/>
              </w:rPr>
              <w:t>（三）本项目特定资格要求：</w:t>
            </w:r>
            <w:r>
              <w:rPr>
                <w:rFonts w:hint="eastAsia" w:ascii="宋体" w:hAnsi="宋体" w:eastAsia="宋体" w:cs="宋体"/>
                <w:b w:val="0"/>
                <w:bCs w:val="0"/>
                <w:color w:val="auto"/>
                <w:sz w:val="24"/>
                <w:szCs w:val="21"/>
                <w:highlight w:val="none"/>
                <w:lang w:val="en-US" w:eastAsia="zh-CN"/>
              </w:rPr>
              <w:t>无</w:t>
            </w:r>
          </w:p>
        </w:tc>
      </w:tr>
      <w:tr w14:paraId="1FD4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75" w:type="dxa"/>
            <w:vAlign w:val="center"/>
          </w:tcPr>
          <w:p w14:paraId="3CD79718">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750" w:type="dxa"/>
            <w:vAlign w:val="center"/>
          </w:tcPr>
          <w:p w14:paraId="35CC592C">
            <w:pPr>
              <w:pStyle w:val="21"/>
              <w:spacing w:line="360" w:lineRule="auto"/>
              <w:rPr>
                <w:rFonts w:hint="eastAsia" w:ascii="宋体" w:hAnsi="宋体" w:eastAsia="宋体" w:cs="宋体"/>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核心产品</w:t>
            </w:r>
          </w:p>
        </w:tc>
        <w:tc>
          <w:tcPr>
            <w:tcW w:w="6624" w:type="dxa"/>
          </w:tcPr>
          <w:p w14:paraId="7B85C492">
            <w:pPr>
              <w:spacing w:line="360" w:lineRule="auto"/>
              <w:rPr>
                <w:rFonts w:hint="eastAsia" w:ascii="宋体" w:hAnsi="宋体" w:eastAsia="宋体" w:cs="宋体"/>
                <w:color w:val="auto"/>
                <w:sz w:val="24"/>
                <w:szCs w:val="21"/>
                <w:highlight w:val="none"/>
              </w:rPr>
            </w:pPr>
            <w:r>
              <w:rPr>
                <w:rFonts w:hint="eastAsia" w:ascii="宋体" w:hAnsi="宋体" w:eastAsia="宋体" w:cs="宋体"/>
                <w:b/>
                <w:color w:val="auto"/>
                <w:sz w:val="24"/>
                <w:highlight w:val="none"/>
              </w:rPr>
              <w:t>本项目核心产</w:t>
            </w:r>
            <w:r>
              <w:rPr>
                <w:rFonts w:hint="eastAsia" w:ascii="宋体" w:hAnsi="宋体" w:eastAsia="宋体" w:cs="宋体"/>
                <w:b/>
                <w:color w:val="auto"/>
                <w:sz w:val="24"/>
                <w:szCs w:val="21"/>
                <w:highlight w:val="none"/>
              </w:rPr>
              <w:t>品：</w:t>
            </w:r>
            <w:r>
              <w:rPr>
                <w:rFonts w:hint="eastAsia" w:ascii="宋体" w:hAnsi="宋体" w:eastAsia="宋体" w:cs="宋体"/>
                <w:b/>
                <w:color w:val="auto"/>
                <w:sz w:val="24"/>
                <w:szCs w:val="21"/>
                <w:highlight w:val="none"/>
                <w:lang w:val="en-US" w:eastAsia="zh-CN"/>
              </w:rPr>
              <w:t>立式自助借还书机。</w:t>
            </w:r>
          </w:p>
          <w:p w14:paraId="55D32234">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1"/>
                <w:highlight w:val="none"/>
              </w:rPr>
              <w:t>注：提供相同品牌产品且通过资格审查、符合性审查的不同</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参加同一合同项下投标的，按一家</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计算，评审后得分最高的同品牌</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获得成交候选</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推荐资格；评审得分相同的，由采购人或者采购人委托评标委员会按照招标文件规定的方式确定一个</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获得成交候选人推荐资格，招标文件未规定的采取随机抽取方式确定，其他同品牌</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不作为成中标候选人。</w:t>
            </w:r>
          </w:p>
        </w:tc>
      </w:tr>
      <w:tr w14:paraId="2CEE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24168FA4">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750" w:type="dxa"/>
            <w:vAlign w:val="center"/>
          </w:tcPr>
          <w:p w14:paraId="109148E5">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节能产品及环境标志产品政策</w:t>
            </w:r>
          </w:p>
        </w:tc>
        <w:tc>
          <w:tcPr>
            <w:tcW w:w="6624" w:type="dxa"/>
            <w:vAlign w:val="center"/>
          </w:tcPr>
          <w:p w14:paraId="30A62327">
            <w:pPr>
              <w:autoSpaceDE w:val="0"/>
              <w:autoSpaceDN w:val="0"/>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 发展改革委 生态环境部 市场监管总局 关于调整优化节能产品、环境标志产品政府采购执行机制的通知”财库〔2019〕9号的规定执行。</w:t>
            </w:r>
          </w:p>
          <w:p w14:paraId="709F5E37">
            <w:pPr>
              <w:autoSpaceDE w:val="0"/>
              <w:autoSpaceDN w:val="0"/>
              <w:spacing w:line="480" w:lineRule="exact"/>
              <w:ind w:firstLine="482" w:firstLineChars="200"/>
              <w:rPr>
                <w:rFonts w:hint="eastAsia" w:ascii="宋体" w:hAnsi="宋体" w:eastAsia="宋体" w:cs="宋体"/>
                <w:color w:val="auto"/>
                <w:highlight w:val="none"/>
              </w:rPr>
            </w:pPr>
            <w:r>
              <w:rPr>
                <w:rFonts w:hint="eastAsia" w:ascii="宋体" w:hAnsi="宋体" w:eastAsia="宋体" w:cs="宋体"/>
                <w:b/>
                <w:bCs/>
                <w:color w:val="auto"/>
                <w:sz w:val="24"/>
                <w:highlight w:val="none"/>
              </w:rPr>
              <w:t>根据《财政部 发展改革委 生态环境部 市场监管总局关于调整优化节能产品、环境标志产品政府采购执行机制的通知》（财库〔2019〕9号）要求，需提供国家确定的认证机构出具的、处于有效期之内的节能产品、环境标志产品认证证书或“中国政府采购网”的节能环保产品查询（http://www.ccgp.gov.cn/jnhb/jnhbqd/）结果截图。</w:t>
            </w:r>
            <w:r>
              <w:rPr>
                <w:rFonts w:hint="eastAsia" w:ascii="宋体" w:hAnsi="宋体" w:eastAsia="宋体" w:cs="宋体"/>
                <w:b/>
                <w:bCs/>
                <w:color w:val="auto"/>
                <w:szCs w:val="28"/>
                <w:highlight w:val="none"/>
              </w:rPr>
              <w:br w:type="page"/>
            </w:r>
          </w:p>
        </w:tc>
      </w:tr>
      <w:tr w14:paraId="607C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4E66E957">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750" w:type="dxa"/>
            <w:vAlign w:val="center"/>
          </w:tcPr>
          <w:p w14:paraId="5D127B2E">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是否接受联合体投标</w:t>
            </w:r>
          </w:p>
        </w:tc>
        <w:tc>
          <w:tcPr>
            <w:tcW w:w="6624" w:type="dxa"/>
            <w:vAlign w:val="center"/>
          </w:tcPr>
          <w:p w14:paraId="290C85FA">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不接受      □接受</w:t>
            </w:r>
          </w:p>
        </w:tc>
      </w:tr>
      <w:tr w14:paraId="7360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285581F0">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750" w:type="dxa"/>
            <w:vAlign w:val="center"/>
          </w:tcPr>
          <w:p w14:paraId="7366A9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投标人提出问题的截止时间和方法</w:t>
            </w:r>
          </w:p>
        </w:tc>
        <w:tc>
          <w:tcPr>
            <w:tcW w:w="6624" w:type="dxa"/>
          </w:tcPr>
          <w:p w14:paraId="447FBC1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[详见附件 (项目名称)招标文件有关时间安排］，即在投标截止时间10日前，所有获取了招标文件的潜在投标人通过线上方式进行提问。</w:t>
            </w:r>
          </w:p>
        </w:tc>
      </w:tr>
      <w:tr w14:paraId="0E91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5" w:type="dxa"/>
            <w:vAlign w:val="center"/>
          </w:tcPr>
          <w:p w14:paraId="49BCDD3D">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1750" w:type="dxa"/>
            <w:vAlign w:val="center"/>
          </w:tcPr>
          <w:p w14:paraId="6D804BC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采购人澄清的时间和方法</w:t>
            </w:r>
          </w:p>
        </w:tc>
        <w:tc>
          <w:tcPr>
            <w:tcW w:w="6624" w:type="dxa"/>
          </w:tcPr>
          <w:p w14:paraId="6DE89464">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shd w:val="clear" w:color="auto" w:fill="FFFFFF"/>
              </w:rPr>
              <w:t>提交首次投标文件截止之日前，采购人、采购代理机构可以对已发出的投标文件进行必要的澄清或者修改，澄清或者修改的内容作为投标文件的组成部分。澄清或者修改的内容可能影响投标文件编制的，采购人、采购代理机构应当在提交首次投标文件截止时间至少15日前，以线上形式通知所有获取投标文件的</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；不足15日的，采购人、采购代理机构应当顺延提交首次投标文件截止时间。</w:t>
            </w:r>
          </w:p>
        </w:tc>
      </w:tr>
      <w:tr w14:paraId="46B7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09406B66">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1750" w:type="dxa"/>
            <w:vAlign w:val="center"/>
          </w:tcPr>
          <w:p w14:paraId="0764D0F8">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投标文件签署</w:t>
            </w:r>
          </w:p>
        </w:tc>
        <w:tc>
          <w:tcPr>
            <w:tcW w:w="6624" w:type="dxa"/>
            <w:vAlign w:val="center"/>
          </w:tcPr>
          <w:p w14:paraId="41B17450">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按“政采云”要求，上传电子响应文件壹份。</w:t>
            </w:r>
          </w:p>
          <w:p w14:paraId="4FC80012">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编制完成后须用云南CA按格式进行电子签章，在所要求的位置有法定代表人(单位负责人)或其委托代理人电子签名或电子签章，均使用云南CA按格式进行电子签章，联合体参加采购的除格式要求外，可由联合体牵头单位签署。</w:t>
            </w:r>
          </w:p>
        </w:tc>
      </w:tr>
      <w:tr w14:paraId="4952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0C68A1B4">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1750" w:type="dxa"/>
            <w:vAlign w:val="center"/>
          </w:tcPr>
          <w:p w14:paraId="2510381B">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响应文件加密要求</w:t>
            </w:r>
          </w:p>
        </w:tc>
        <w:tc>
          <w:tcPr>
            <w:tcW w:w="6624" w:type="dxa"/>
            <w:vAlign w:val="center"/>
          </w:tcPr>
          <w:p w14:paraId="7A4522BF">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CA锁加密</w:t>
            </w:r>
          </w:p>
        </w:tc>
      </w:tr>
      <w:tr w14:paraId="7174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975" w:type="dxa"/>
            <w:vAlign w:val="center"/>
          </w:tcPr>
          <w:p w14:paraId="0CD1038A">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1750" w:type="dxa"/>
            <w:vAlign w:val="center"/>
          </w:tcPr>
          <w:p w14:paraId="498186EB">
            <w:pPr>
              <w:autoSpaceDE w:val="0"/>
              <w:autoSpaceDN w:val="0"/>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实质性要求和条件</w:t>
            </w:r>
          </w:p>
        </w:tc>
        <w:tc>
          <w:tcPr>
            <w:tcW w:w="6624" w:type="dxa"/>
            <w:vAlign w:val="center"/>
          </w:tcPr>
          <w:p w14:paraId="0921D1A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招标文件中的实质性条款，不满足的将导致投标无效。</w:t>
            </w:r>
          </w:p>
        </w:tc>
      </w:tr>
      <w:tr w14:paraId="23C5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75" w:type="dxa"/>
            <w:vAlign w:val="center"/>
          </w:tcPr>
          <w:p w14:paraId="1A724D61">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1750" w:type="dxa"/>
            <w:vAlign w:val="center"/>
          </w:tcPr>
          <w:p w14:paraId="2E0F399D">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构成投标文件的其他资料</w:t>
            </w:r>
          </w:p>
        </w:tc>
        <w:tc>
          <w:tcPr>
            <w:tcW w:w="6624" w:type="dxa"/>
            <w:vAlign w:val="center"/>
          </w:tcPr>
          <w:p w14:paraId="1921F86E">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（1）第</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章“采购需求”中要求提供的其他资料；</w:t>
            </w:r>
          </w:p>
          <w:p w14:paraId="474456DF">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（2）招标文件中所涉及到的相关资料及证明文件或投标人认为必须提供的其他相关资料。</w:t>
            </w:r>
          </w:p>
        </w:tc>
      </w:tr>
      <w:tr w14:paraId="3C77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6C678949">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1750" w:type="dxa"/>
            <w:vAlign w:val="center"/>
          </w:tcPr>
          <w:p w14:paraId="5B0AAA8E">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624" w:type="dxa"/>
            <w:vAlign w:val="center"/>
          </w:tcPr>
          <w:p w14:paraId="433DFF4C">
            <w:pPr>
              <w:pStyle w:val="21"/>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投标截止日期后</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lang w:val="en-US" w:eastAsia="zh-CN"/>
              </w:rPr>
              <w:t>日历天。</w:t>
            </w:r>
          </w:p>
        </w:tc>
      </w:tr>
      <w:tr w14:paraId="065A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5FF875C8">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1750" w:type="dxa"/>
            <w:vAlign w:val="center"/>
          </w:tcPr>
          <w:p w14:paraId="59CB6028">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
                <w:bCs w:val="0"/>
                <w:color w:val="auto"/>
                <w:sz w:val="24"/>
                <w:highlight w:val="none"/>
              </w:rPr>
              <w:t>投标文件递交截止时间</w:t>
            </w:r>
          </w:p>
        </w:tc>
        <w:tc>
          <w:tcPr>
            <w:tcW w:w="6624" w:type="dxa"/>
            <w:vAlign w:val="center"/>
          </w:tcPr>
          <w:p w14:paraId="6A34CAF3">
            <w:pPr>
              <w:autoSpaceDE w:val="0"/>
              <w:autoSpaceDN w:val="0"/>
              <w:snapToGrid w:val="0"/>
              <w:spacing w:line="360" w:lineRule="auto"/>
              <w:textAlignment w:val="bottom"/>
              <w:rPr>
                <w:rFonts w:hint="eastAsia" w:ascii="宋体" w:hAnsi="宋体" w:eastAsia="宋体" w:cs="宋体"/>
                <w:bCs/>
                <w:color w:val="auto"/>
                <w:sz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snapToGrid w:val="0"/>
                <w:color w:val="auto"/>
                <w:kern w:val="0"/>
                <w:sz w:val="24"/>
                <w:highlight w:val="none"/>
              </w:rPr>
              <w:t>026年0</w:t>
            </w:r>
            <w:r>
              <w:rPr>
                <w:rFonts w:hint="eastAsia" w:ascii="宋体" w:hAnsi="宋体" w:eastAsia="宋体" w:cs="宋体"/>
                <w:b/>
                <w:snapToGrid w:val="0"/>
                <w:color w:val="auto"/>
                <w:kern w:val="0"/>
                <w:sz w:val="24"/>
                <w:highlight w:val="none"/>
                <w:lang w:val="en-US" w:eastAsia="zh-CN"/>
              </w:rPr>
              <w:t>5</w:t>
            </w:r>
            <w:r>
              <w:rPr>
                <w:rFonts w:hint="eastAsia" w:ascii="宋体" w:hAnsi="宋体" w:eastAsia="宋体" w:cs="宋体"/>
                <w:b/>
                <w:snapToGrid w:val="0"/>
                <w:color w:val="auto"/>
                <w:kern w:val="0"/>
                <w:sz w:val="24"/>
                <w:highlight w:val="none"/>
              </w:rPr>
              <w:t>月</w:t>
            </w:r>
            <w:r>
              <w:rPr>
                <w:rFonts w:hint="eastAsia" w:ascii="宋体" w:hAnsi="宋体" w:cs="宋体"/>
                <w:b/>
                <w:snapToGrid w:val="0"/>
                <w:color w:val="auto"/>
                <w:kern w:val="0"/>
                <w:sz w:val="24"/>
                <w:highlight w:val="none"/>
                <w:lang w:val="en-US" w:eastAsia="zh-CN"/>
              </w:rPr>
              <w:t>29</w:t>
            </w:r>
            <w:r>
              <w:rPr>
                <w:rFonts w:hint="eastAsia" w:ascii="宋体" w:hAnsi="宋体" w:eastAsia="宋体" w:cs="宋体"/>
                <w:b/>
                <w:snapToGrid w:val="0"/>
                <w:color w:val="auto"/>
                <w:kern w:val="0"/>
                <w:sz w:val="24"/>
                <w:highlight w:val="none"/>
              </w:rPr>
              <w:t>日09时00</w:t>
            </w:r>
            <w:r>
              <w:rPr>
                <w:rFonts w:hint="eastAsia" w:ascii="宋体" w:hAnsi="宋体" w:eastAsia="宋体" w:cs="宋体"/>
                <w:b/>
                <w:color w:val="auto"/>
                <w:sz w:val="24"/>
                <w:highlight w:val="none"/>
              </w:rPr>
              <w:t>分（北京时间）</w:t>
            </w:r>
          </w:p>
        </w:tc>
      </w:tr>
      <w:tr w14:paraId="7A33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Align w:val="center"/>
          </w:tcPr>
          <w:p w14:paraId="636F0759">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1750" w:type="dxa"/>
            <w:vAlign w:val="center"/>
          </w:tcPr>
          <w:p w14:paraId="3579BFBE">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投标文件递交地点</w:t>
            </w:r>
          </w:p>
        </w:tc>
        <w:tc>
          <w:tcPr>
            <w:tcW w:w="6624" w:type="dxa"/>
            <w:vAlign w:val="center"/>
          </w:tcPr>
          <w:p w14:paraId="1ABDB0C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请登录政采云平台（https://www.zcygov.cn/）投标客户端投标。</w:t>
            </w:r>
          </w:p>
        </w:tc>
      </w:tr>
      <w:tr w14:paraId="5CDE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A3B5FD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w:t>
            </w:r>
          </w:p>
        </w:tc>
        <w:tc>
          <w:tcPr>
            <w:tcW w:w="1750" w:type="dxa"/>
            <w:vAlign w:val="center"/>
          </w:tcPr>
          <w:p w14:paraId="72D82333">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是否退还投标文件</w:t>
            </w:r>
          </w:p>
        </w:tc>
        <w:tc>
          <w:tcPr>
            <w:tcW w:w="6624" w:type="dxa"/>
            <w:vAlign w:val="center"/>
          </w:tcPr>
          <w:p w14:paraId="68CB5DE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  □是</w:t>
            </w:r>
          </w:p>
        </w:tc>
      </w:tr>
      <w:tr w14:paraId="40AC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55B7A08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1750" w:type="dxa"/>
            <w:vAlign w:val="center"/>
          </w:tcPr>
          <w:p w14:paraId="00963423">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624" w:type="dxa"/>
            <w:vAlign w:val="center"/>
          </w:tcPr>
          <w:p w14:paraId="1D5AD512">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综合评分法</w:t>
            </w:r>
          </w:p>
        </w:tc>
      </w:tr>
      <w:tr w14:paraId="0B2F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3FB7BD7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1750" w:type="dxa"/>
            <w:vAlign w:val="center"/>
          </w:tcPr>
          <w:p w14:paraId="06ED3BA1">
            <w:pPr>
              <w:pStyle w:val="21"/>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24" w:type="dxa"/>
            <w:vAlign w:val="center"/>
          </w:tcPr>
          <w:p w14:paraId="56155372">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由采购人代表和有关技术、经济等方面的专家组成，成员人数应当为5人或以上单数。其中，技术、经济等方面的专家不得少于成员总数的三分之二。评标委员会应当推选组长，但采购人代表不得担任组长。</w:t>
            </w:r>
          </w:p>
        </w:tc>
      </w:tr>
      <w:tr w14:paraId="3E77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2CC27BC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1750" w:type="dxa"/>
            <w:vAlign w:val="center"/>
          </w:tcPr>
          <w:p w14:paraId="3C126F09">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是否授权评标委员会确定中标人</w:t>
            </w:r>
          </w:p>
        </w:tc>
        <w:tc>
          <w:tcPr>
            <w:tcW w:w="6624" w:type="dxa"/>
            <w:vAlign w:val="center"/>
          </w:tcPr>
          <w:p w14:paraId="2A3A7088">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1EFBD718">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否，推荐中标候选人，推荐人数：</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人。</w:t>
            </w:r>
          </w:p>
        </w:tc>
      </w:tr>
      <w:tr w14:paraId="5DB4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75" w:type="dxa"/>
            <w:shd w:val="clear" w:color="auto" w:fill="auto"/>
            <w:vAlign w:val="center"/>
          </w:tcPr>
          <w:p w14:paraId="05517FC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1750" w:type="dxa"/>
            <w:vAlign w:val="center"/>
          </w:tcPr>
          <w:p w14:paraId="229EC54A">
            <w:pPr>
              <w:widowControl/>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现场踏勘</w:t>
            </w:r>
          </w:p>
        </w:tc>
        <w:tc>
          <w:tcPr>
            <w:tcW w:w="6624" w:type="dxa"/>
            <w:vAlign w:val="center"/>
          </w:tcPr>
          <w:p w14:paraId="44093D4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400367DF">
            <w:pPr>
              <w:widowControl/>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 本项目不组织现场踏勘，如</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需要现场踏勘的，自行到现场踏勘，踏勘所需食宿、交通、安全等由</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自行负责。</w:t>
            </w:r>
          </w:p>
        </w:tc>
      </w:tr>
      <w:tr w14:paraId="7A83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787D47D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1750" w:type="dxa"/>
            <w:vAlign w:val="center"/>
          </w:tcPr>
          <w:p w14:paraId="793A3641">
            <w:pPr>
              <w:spacing w:line="360" w:lineRule="auto"/>
              <w:jc w:val="left"/>
              <w:rPr>
                <w:rFonts w:hint="eastAsia" w:ascii="宋体" w:hAnsi="宋体" w:eastAsia="宋体" w:cs="宋体"/>
                <w:color w:val="auto"/>
                <w:spacing w:val="9"/>
                <w:sz w:val="24"/>
                <w:highlight w:val="none"/>
              </w:rPr>
            </w:pPr>
            <w:r>
              <w:rPr>
                <w:rFonts w:hint="eastAsia" w:ascii="宋体" w:hAnsi="宋体" w:eastAsia="宋体" w:cs="宋体"/>
                <w:color w:val="auto"/>
                <w:sz w:val="24"/>
                <w:highlight w:val="none"/>
              </w:rPr>
              <w:t>投标保证金</w:t>
            </w:r>
          </w:p>
        </w:tc>
        <w:tc>
          <w:tcPr>
            <w:tcW w:w="6624" w:type="dxa"/>
            <w:vAlign w:val="center"/>
          </w:tcPr>
          <w:p w14:paraId="4940678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pacing w:val="-2"/>
                <w:sz w:val="24"/>
                <w:highlight w:val="none"/>
              </w:rPr>
              <w:fldChar w:fldCharType="begin"/>
            </w:r>
            <w:r>
              <w:rPr>
                <w:rFonts w:hint="eastAsia" w:ascii="宋体" w:hAnsi="宋体" w:eastAsia="宋体" w:cs="宋体"/>
                <w:color w:val="auto"/>
                <w:spacing w:val="-2"/>
                <w:sz w:val="24"/>
                <w:highlight w:val="none"/>
              </w:rPr>
              <w:instrText xml:space="preserve"> EQ \o(□)</w:instrText>
            </w:r>
            <w:r>
              <w:rPr>
                <w:rFonts w:hint="eastAsia" w:ascii="宋体" w:hAnsi="宋体" w:eastAsia="宋体" w:cs="宋体"/>
                <w:color w:val="auto"/>
                <w:spacing w:val="-2"/>
                <w:sz w:val="24"/>
                <w:highlight w:val="none"/>
              </w:rPr>
              <w:fldChar w:fldCharType="end"/>
            </w:r>
            <w:r>
              <w:rPr>
                <w:rFonts w:hint="eastAsia" w:ascii="宋体" w:hAnsi="宋体" w:eastAsia="宋体" w:cs="宋体"/>
                <w:color w:val="auto"/>
                <w:spacing w:val="-2"/>
                <w:sz w:val="24"/>
                <w:highlight w:val="none"/>
              </w:rPr>
              <w:t xml:space="preserve">否  </w:t>
            </w:r>
          </w:p>
          <w:p w14:paraId="46CF9E7F">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一、投标保证金提交方式</w:t>
            </w:r>
          </w:p>
          <w:p w14:paraId="260057C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76349834">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银行转账：投标（交易）保证金应以投标人自身的名义提交，并且必须从其基本账户转出，不得以分支机构其他名义提交（按照规定，投标人可以为自然人的项目除外）。</w:t>
            </w:r>
          </w:p>
          <w:p w14:paraId="4CCA2EA7">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二、投标保证金数额：</w:t>
            </w:r>
          </w:p>
          <w:p w14:paraId="5ABFE917">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投标保证金</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标段</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3000</w:t>
            </w:r>
            <w:r>
              <w:rPr>
                <w:rFonts w:hint="eastAsia" w:ascii="宋体" w:hAnsi="宋体" w:eastAsia="宋体" w:cs="宋体"/>
                <w:b/>
                <w:bCs/>
                <w:color w:val="auto"/>
                <w:sz w:val="24"/>
                <w:highlight w:val="none"/>
              </w:rPr>
              <w:t>.00元。</w:t>
            </w:r>
          </w:p>
          <w:p w14:paraId="0F5E0E45">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pacing w:val="-2"/>
                <w:sz w:val="24"/>
                <w:highlight w:val="none"/>
              </w:rPr>
              <w:t>需在投标截止时间前按要求提交投标保证金，递交截止时间之后递交的投标保证金将被拒绝。</w:t>
            </w:r>
          </w:p>
          <w:p w14:paraId="26562AA9">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三、保证金提交的程序</w:t>
            </w:r>
          </w:p>
          <w:p w14:paraId="52AF54B5">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（一）采用银行转账方式提交的：</w:t>
            </w:r>
          </w:p>
          <w:p w14:paraId="2B519040">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投标人应按照招标文件中关于投标保证金的各项要求提交投标保证金。请投标人合理安排投标保证金的递交时间（投标保证金的递交时间以保证金账户实际到账时间为准），保证金未在投标截止时间之前到帐或款项用途不明等原因导致投标无效等后果由</w:t>
            </w:r>
            <w:r>
              <w:rPr>
                <w:rFonts w:hint="eastAsia" w:ascii="宋体" w:hAnsi="宋体" w:eastAsia="宋体" w:cs="宋体"/>
                <w:color w:val="auto"/>
                <w:spacing w:val="-2"/>
                <w:sz w:val="24"/>
                <w:highlight w:val="none"/>
                <w:lang w:eastAsia="zh-CN"/>
              </w:rPr>
              <w:t>投标人</w:t>
            </w:r>
            <w:r>
              <w:rPr>
                <w:rFonts w:hint="eastAsia" w:ascii="宋体" w:hAnsi="宋体" w:eastAsia="宋体" w:cs="宋体"/>
                <w:color w:val="auto"/>
                <w:spacing w:val="-2"/>
                <w:sz w:val="24"/>
                <w:highlight w:val="none"/>
              </w:rPr>
              <w:t>自行承担。</w:t>
            </w:r>
          </w:p>
          <w:p w14:paraId="7317C1B0">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投标保证金递交账户信息：</w:t>
            </w:r>
          </w:p>
          <w:p w14:paraId="716E5FFD">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户名：云南梧桐建设工程管理有限公司</w:t>
            </w:r>
          </w:p>
          <w:p w14:paraId="32657235">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开户行：兴业银行昆明小康大道支行</w:t>
            </w:r>
          </w:p>
          <w:p w14:paraId="78DB3A7C">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账户：471220100100090072</w:t>
            </w:r>
          </w:p>
          <w:p w14:paraId="0D5FA215">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（二）采用银行保函（保险）方式提交的：</w:t>
            </w:r>
          </w:p>
          <w:p w14:paraId="28D9BCFF">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1、采用电子保险保单形式，投标人选择相关平台或机构自行办理投保手续，自行办理的保函（保险）需真实有效；</w:t>
            </w:r>
          </w:p>
          <w:p w14:paraId="44345369">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2、开标前，办理成功的保函（保险）凭证扫描件需放入投标文件中；投标人需对自行办理的保函（保险）真实性、有效性负责；</w:t>
            </w:r>
          </w:p>
          <w:p w14:paraId="2670B5A4">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四、投标保证金退还方式</w:t>
            </w:r>
          </w:p>
          <w:p w14:paraId="4CF52DE4">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1.自中标通知书发出之日起5个工作日内退还未中标人的投标保证金；未中标人的保证金通过原渠道退至基本账户中。</w:t>
            </w:r>
          </w:p>
          <w:p w14:paraId="74EE7172">
            <w:pPr>
              <w:spacing w:line="360" w:lineRule="auto"/>
              <w:rPr>
                <w:rFonts w:hint="eastAsia" w:ascii="宋体" w:hAnsi="宋体" w:eastAsia="宋体" w:cs="宋体"/>
                <w:color w:val="auto"/>
                <w:highlight w:val="none"/>
              </w:rPr>
            </w:pPr>
            <w:r>
              <w:rPr>
                <w:rFonts w:hint="eastAsia" w:ascii="宋体" w:hAnsi="宋体" w:eastAsia="宋体" w:cs="宋体"/>
                <w:color w:val="auto"/>
                <w:spacing w:val="-2"/>
                <w:sz w:val="24"/>
                <w:highlight w:val="none"/>
              </w:rPr>
              <w:t>2.自采购合同签订之日起5个工作日内退还中标人的投标保证金：保证金将通过原渠道退至基本账户中。</w:t>
            </w:r>
          </w:p>
        </w:tc>
      </w:tr>
      <w:tr w14:paraId="40D93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12558A6C">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29</w:t>
            </w:r>
          </w:p>
        </w:tc>
        <w:tc>
          <w:tcPr>
            <w:tcW w:w="1750" w:type="dxa"/>
            <w:vAlign w:val="center"/>
          </w:tcPr>
          <w:p w14:paraId="76AC1D49">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履约保证金</w:t>
            </w:r>
            <w:r>
              <w:rPr>
                <w:rFonts w:hint="eastAsia" w:ascii="宋体" w:hAnsi="宋体" w:eastAsia="宋体" w:cs="宋体"/>
                <w:color w:val="auto"/>
                <w:sz w:val="24"/>
                <w:szCs w:val="24"/>
                <w:highlight w:val="none"/>
              </w:rPr>
              <w:t>金额</w:t>
            </w:r>
          </w:p>
        </w:tc>
        <w:tc>
          <w:tcPr>
            <w:tcW w:w="6624" w:type="dxa"/>
            <w:vAlign w:val="center"/>
          </w:tcPr>
          <w:p w14:paraId="43EC615F">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EQ \o(□)</w:instrText>
            </w:r>
            <w:r>
              <w:rPr>
                <w:rFonts w:hint="eastAsia" w:ascii="宋体" w:hAnsi="宋体" w:eastAsia="宋体" w:cs="宋体"/>
                <w:b/>
                <w:color w:val="auto"/>
                <w:sz w:val="24"/>
                <w:highlight w:val="none"/>
              </w:rPr>
              <w:fldChar w:fldCharType="end"/>
            </w:r>
            <w:r>
              <w:rPr>
                <w:rFonts w:hint="eastAsia" w:ascii="宋体" w:hAnsi="宋体" w:eastAsia="宋体" w:cs="宋体"/>
                <w:color w:val="auto"/>
                <w:sz w:val="24"/>
                <w:highlight w:val="none"/>
              </w:rPr>
              <w:t xml:space="preserve">否  </w:t>
            </w:r>
            <w:r>
              <w:rPr>
                <w:rFonts w:hint="eastAsia" w:ascii="宋体" w:hAnsi="宋体" w:eastAsia="宋体" w:cs="宋体"/>
                <w:color w:val="auto"/>
                <w:sz w:val="24"/>
                <w:highlight w:val="none"/>
              </w:rPr>
              <w:sym w:font="Wingdings 2" w:char="0052"/>
            </w:r>
            <w:r>
              <w:rPr>
                <w:rFonts w:hint="eastAsia" w:ascii="宋体" w:hAnsi="宋体" w:eastAsia="宋体" w:cs="宋体"/>
                <w:color w:val="auto"/>
                <w:sz w:val="24"/>
                <w:highlight w:val="none"/>
              </w:rPr>
              <w:t>是</w:t>
            </w:r>
          </w:p>
          <w:p w14:paraId="5E604A0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履约保证金金额：成交总价的5%；</w:t>
            </w:r>
          </w:p>
          <w:p w14:paraId="2F06056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履约保证金缴纳时间：中标人应在收到中标通知书后在合同签定前缴纳至采购人指定账户；</w:t>
            </w:r>
          </w:p>
          <w:p w14:paraId="150A261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履约保证金缴纳方式：以支票、汇票、本票或者金融机构、担保机构出具的保函等非现金形式向甲方提供履约保证金。采购人开具同等金额收据。</w:t>
            </w:r>
          </w:p>
          <w:p w14:paraId="41645337">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履约保证金退还时间：项目最终验收合格后7个日历天内，采购人无息退还</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合同履约保证金。履约保证金支付作为合同生效必要条件。</w:t>
            </w:r>
          </w:p>
        </w:tc>
      </w:tr>
      <w:tr w14:paraId="223D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6962CEE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30</w:t>
            </w:r>
          </w:p>
        </w:tc>
        <w:tc>
          <w:tcPr>
            <w:tcW w:w="1750" w:type="dxa"/>
            <w:vAlign w:val="center"/>
          </w:tcPr>
          <w:p w14:paraId="0EA938E3">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24" w:type="dxa"/>
            <w:vAlign w:val="center"/>
          </w:tcPr>
          <w:p w14:paraId="0CF80754">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合同签订后支付合同总价的30%，设施设备进场后支付合同总价的50%，验收审计合格后30日内支付合同总价的20%。具体支付时间以财政拨款时间为准。</w:t>
            </w:r>
          </w:p>
        </w:tc>
      </w:tr>
      <w:tr w14:paraId="0B95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388B6CAC">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31</w:t>
            </w:r>
          </w:p>
        </w:tc>
        <w:tc>
          <w:tcPr>
            <w:tcW w:w="1750" w:type="dxa"/>
            <w:vAlign w:val="center"/>
          </w:tcPr>
          <w:p w14:paraId="57D4CBFD">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其他费用</w:t>
            </w:r>
          </w:p>
        </w:tc>
        <w:tc>
          <w:tcPr>
            <w:tcW w:w="6624" w:type="dxa"/>
            <w:vAlign w:val="center"/>
          </w:tcPr>
          <w:p w14:paraId="19A28A05">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rPr>
              <w:t>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478A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06E3150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32</w:t>
            </w:r>
          </w:p>
        </w:tc>
        <w:tc>
          <w:tcPr>
            <w:tcW w:w="1750" w:type="dxa"/>
            <w:vAlign w:val="center"/>
          </w:tcPr>
          <w:p w14:paraId="50AA2D05">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代理服务费</w:t>
            </w:r>
          </w:p>
        </w:tc>
        <w:tc>
          <w:tcPr>
            <w:tcW w:w="6624" w:type="dxa"/>
            <w:vAlign w:val="center"/>
          </w:tcPr>
          <w:p w14:paraId="2B8DE83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（1）本项目代理服务费按计价格[2002]1980号文件及发改价格[2015]299号文件服务收费标准基准收费率下浮</w:t>
            </w:r>
            <w:r>
              <w:rPr>
                <w:rFonts w:hint="eastAsia" w:ascii="宋体" w:hAnsi="宋体" w:eastAsia="宋体" w:cs="宋体"/>
                <w:color w:val="auto"/>
                <w:sz w:val="24"/>
                <w:highlight w:val="none"/>
                <w:u w:val="single"/>
              </w:rPr>
              <w:t>20</w:t>
            </w:r>
            <w:r>
              <w:rPr>
                <w:rFonts w:hint="eastAsia" w:ascii="宋体" w:hAnsi="宋体" w:eastAsia="宋体" w:cs="宋体"/>
                <w:color w:val="auto"/>
                <w:sz w:val="24"/>
                <w:highlight w:val="none"/>
              </w:rPr>
              <w:t>%收取，由中标人在领取中标通知书时一次性支付给代理机构。</w:t>
            </w:r>
          </w:p>
          <w:p w14:paraId="7E135AAD">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0388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2B8EACD9">
            <w:pPr>
              <w:pStyle w:val="21"/>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33</w:t>
            </w:r>
          </w:p>
        </w:tc>
        <w:tc>
          <w:tcPr>
            <w:tcW w:w="1750" w:type="dxa"/>
            <w:vAlign w:val="center"/>
          </w:tcPr>
          <w:p w14:paraId="1B89D14F">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w:t>
            </w:r>
          </w:p>
        </w:tc>
        <w:tc>
          <w:tcPr>
            <w:tcW w:w="6624" w:type="dxa"/>
            <w:vAlign w:val="center"/>
          </w:tcPr>
          <w:p w14:paraId="112F7A5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1.不良行为记录是指：</w:t>
            </w:r>
          </w:p>
          <w:p w14:paraId="6574859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（1）以受让或者借用或者涂改或者盗用或者伪造证书、图章、签名以及其他弄虚作假的方式参与响应的；</w:t>
            </w:r>
          </w:p>
          <w:p w14:paraId="4235B79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（2）投标人相互串通参与响应或者与采购人串通参与采购的；</w:t>
            </w:r>
          </w:p>
          <w:p w14:paraId="21D1DFF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（3）行贿或者索贿或者受贿或者接受其他好处的；</w:t>
            </w:r>
          </w:p>
          <w:p w14:paraId="0B8B0AF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（4）将成交项目进行转包或者违法分包的；</w:t>
            </w:r>
          </w:p>
          <w:p w14:paraId="702F4FB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（5）无故放弃成交的；</w:t>
            </w:r>
          </w:p>
          <w:p w14:paraId="6212C2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（6）不履行投标文件承诺的。</w:t>
            </w:r>
          </w:p>
          <w:p w14:paraId="04AE35F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2.解释顺序：</w:t>
            </w:r>
          </w:p>
          <w:p w14:paraId="2A58431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招标文件中采购人编制的内容前后有矛盾或不一致，有时间先后顺序的，以时间在后的修改、澄清或补正文件为准；没有时间先后顺序的，以公平的原则进行处理。</w:t>
            </w:r>
          </w:p>
          <w:p w14:paraId="1713338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3.其他：</w:t>
            </w:r>
          </w:p>
          <w:p w14:paraId="56ABCDC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（1）所有投标人的投标文件必须是在接受采购人招标文件（含合同条款等）的基础上作出的承诺，若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对招标文件（含合同条款等）提出修改要求，采购人可视为其不响应招标文件的实质性条款，取消其成交资格。</w:t>
            </w:r>
          </w:p>
          <w:p w14:paraId="1801428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（2）除不可抗力等因素外，成交通知书发出后，采购人改变成交结果，或者</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拒绝签订政府采购合同的，应当承担相应的法律责任。</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拒绝签订政府采购合同的，采购人可以按照《中华人民共和国政府采购法实施条例》第四十九条规定的原则确定其他投标人作为</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并签订政府采购合同，也可以重新开展采购活动。拒绝签订政府采购合同的</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不得参加对该项目重新开展的采购活动。</w:t>
            </w:r>
          </w:p>
          <w:p w14:paraId="0362E21C">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3）本招标文件中的所有条款，包括合同条款均是招标文件的实质性组成部分，投标人的投标文件是在充分理解了招标文件（含合同条款）的所有条款后作出的决定，是对招标文件的实质性响应，投标人成交后不得对招标文件实质性内容进行修改或质询。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对招标文件（含合同条款）提出修改要求，采购人有权拒绝与之其签订合同，取消其成交候选人资格，由此产生的一切后果全部由</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承担。</w:t>
            </w:r>
          </w:p>
        </w:tc>
      </w:tr>
    </w:tbl>
    <w:p w14:paraId="008F2036">
      <w:pPr>
        <w:rPr>
          <w:rFonts w:hint="eastAsia" w:ascii="宋体" w:hAnsi="宋体" w:eastAsia="宋体" w:cs="宋体"/>
          <w:color w:val="auto"/>
          <w:highlight w:val="none"/>
        </w:rPr>
      </w:pPr>
    </w:p>
    <w:p w14:paraId="3055419D">
      <w:pPr>
        <w:pStyle w:val="4"/>
        <w:spacing w:before="0"/>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bookmarkStart w:id="51" w:name="_Toc15725"/>
      <w:bookmarkStart w:id="52" w:name="_Toc22348"/>
      <w:bookmarkStart w:id="53" w:name="_Toc20648"/>
      <w:bookmarkStart w:id="54" w:name="_Toc10398"/>
      <w:r>
        <w:rPr>
          <w:rFonts w:hint="eastAsia" w:ascii="宋体" w:hAnsi="宋体" w:eastAsia="宋体" w:cs="宋体"/>
          <w:color w:val="auto"/>
          <w:szCs w:val="28"/>
          <w:highlight w:val="none"/>
        </w:rPr>
        <w:t>一、总则</w:t>
      </w:r>
      <w:bookmarkEnd w:id="51"/>
      <w:bookmarkEnd w:id="52"/>
      <w:bookmarkEnd w:id="53"/>
      <w:bookmarkEnd w:id="54"/>
    </w:p>
    <w:p w14:paraId="51C2F867">
      <w:pPr>
        <w:pStyle w:val="5"/>
        <w:spacing w:before="0" w:line="400" w:lineRule="exact"/>
        <w:ind w:left="420" w:hanging="420"/>
        <w:rPr>
          <w:rFonts w:hint="eastAsia" w:ascii="宋体" w:hAnsi="宋体" w:eastAsia="宋体" w:cs="宋体"/>
          <w:color w:val="auto"/>
          <w:sz w:val="24"/>
          <w:szCs w:val="24"/>
          <w:highlight w:val="none"/>
        </w:rPr>
      </w:pPr>
      <w:bookmarkStart w:id="55" w:name="_Toc1255"/>
      <w:bookmarkStart w:id="56" w:name="_Toc30115"/>
      <w:r>
        <w:rPr>
          <w:rFonts w:hint="eastAsia" w:ascii="宋体" w:hAnsi="宋体" w:eastAsia="宋体" w:cs="宋体"/>
          <w:color w:val="auto"/>
          <w:sz w:val="24"/>
          <w:szCs w:val="24"/>
          <w:highlight w:val="none"/>
        </w:rPr>
        <w:t>1.项目概况</w:t>
      </w:r>
      <w:bookmarkEnd w:id="55"/>
      <w:bookmarkEnd w:id="56"/>
    </w:p>
    <w:p w14:paraId="3FC0757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根据《中华人民共和国招标投标法》、《中华人民共和国政府采购法》、《政府采购货物和服务招标投标管理办法》(财政部令第87号)等有关法律、法规和规章的规定，本项目已获得政府采购主管部门的批准，项目资金已落实。现对本项目进行公开招标。</w:t>
      </w:r>
    </w:p>
    <w:p w14:paraId="55680F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1.2采购人：见投标人须知前附表。</w:t>
      </w:r>
    </w:p>
    <w:p w14:paraId="143052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1.3采购代理机构：见投标人须知前附表。</w:t>
      </w:r>
    </w:p>
    <w:p w14:paraId="1CCD48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1.4招标项目名称：见投标人须知前附表。</w:t>
      </w:r>
    </w:p>
    <w:p w14:paraId="0A686937">
      <w:pPr>
        <w:pStyle w:val="5"/>
        <w:spacing w:before="0"/>
        <w:ind w:left="420" w:hanging="420"/>
        <w:rPr>
          <w:rFonts w:hint="eastAsia" w:ascii="宋体" w:hAnsi="宋体" w:eastAsia="宋体" w:cs="宋体"/>
          <w:color w:val="auto"/>
          <w:sz w:val="24"/>
          <w:szCs w:val="24"/>
          <w:highlight w:val="none"/>
        </w:rPr>
      </w:pPr>
      <w:bookmarkStart w:id="57" w:name="_Toc4092"/>
      <w:bookmarkStart w:id="58" w:name="_Toc8337"/>
      <w:r>
        <w:rPr>
          <w:rFonts w:hint="eastAsia" w:ascii="宋体" w:hAnsi="宋体" w:eastAsia="宋体" w:cs="宋体"/>
          <w:color w:val="auto"/>
          <w:sz w:val="24"/>
          <w:szCs w:val="24"/>
          <w:highlight w:val="none"/>
        </w:rPr>
        <w:t>2.资金来源</w:t>
      </w:r>
      <w:bookmarkEnd w:id="57"/>
      <w:bookmarkEnd w:id="58"/>
    </w:p>
    <w:p w14:paraId="629907D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2.1资金落实情况：已落实。</w:t>
      </w:r>
    </w:p>
    <w:p w14:paraId="23CED16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2.2预算金额：</w:t>
      </w:r>
      <w:bookmarkStart w:id="59" w:name="_Hlk75008812"/>
      <w:r>
        <w:rPr>
          <w:rFonts w:hint="eastAsia" w:ascii="宋体" w:hAnsi="宋体" w:eastAsia="宋体" w:cs="宋体"/>
          <w:color w:val="auto"/>
          <w:sz w:val="24"/>
          <w:highlight w:val="none"/>
        </w:rPr>
        <w:t>见“投标人须知前附表”。</w:t>
      </w:r>
      <w:bookmarkEnd w:id="59"/>
    </w:p>
    <w:p w14:paraId="5043E70F">
      <w:pPr>
        <w:pStyle w:val="5"/>
        <w:spacing w:before="0"/>
        <w:ind w:left="420" w:hanging="420"/>
        <w:rPr>
          <w:rFonts w:hint="eastAsia" w:ascii="宋体" w:hAnsi="宋体" w:eastAsia="宋体" w:cs="宋体"/>
          <w:color w:val="auto"/>
          <w:sz w:val="24"/>
          <w:szCs w:val="24"/>
          <w:highlight w:val="none"/>
        </w:rPr>
      </w:pPr>
      <w:bookmarkStart w:id="60" w:name="_Toc2461"/>
      <w:bookmarkStart w:id="61" w:name="_Toc22359"/>
      <w:r>
        <w:rPr>
          <w:rFonts w:hint="eastAsia" w:ascii="宋体" w:hAnsi="宋体" w:eastAsia="宋体" w:cs="宋体"/>
          <w:color w:val="auto"/>
          <w:sz w:val="24"/>
          <w:szCs w:val="24"/>
          <w:highlight w:val="none"/>
        </w:rPr>
        <w:t>3.采购需求及合同履行期限</w:t>
      </w:r>
      <w:bookmarkEnd w:id="60"/>
      <w:bookmarkEnd w:id="61"/>
    </w:p>
    <w:p w14:paraId="5803FC5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3.1本项目采购需求：见“投标人须知前附表”。</w:t>
      </w:r>
    </w:p>
    <w:p w14:paraId="2BF4AA4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3.2本项目合同履行期限：见“投标人须知前附表”。</w:t>
      </w:r>
    </w:p>
    <w:p w14:paraId="6434B49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3.3本项目项目实施地点：见“投标人须知前附表”。</w:t>
      </w:r>
    </w:p>
    <w:p w14:paraId="54FFEB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3.4本项目质量标准：见“投标人须知前附表”。</w:t>
      </w:r>
    </w:p>
    <w:p w14:paraId="78FC67FF">
      <w:pPr>
        <w:pStyle w:val="5"/>
        <w:spacing w:before="0"/>
        <w:ind w:left="420" w:hanging="420"/>
        <w:rPr>
          <w:rFonts w:hint="eastAsia" w:ascii="宋体" w:hAnsi="宋体" w:eastAsia="宋体" w:cs="宋体"/>
          <w:color w:val="auto"/>
          <w:sz w:val="24"/>
          <w:szCs w:val="24"/>
          <w:highlight w:val="none"/>
        </w:rPr>
      </w:pPr>
      <w:bookmarkStart w:id="62" w:name="_Toc23497"/>
      <w:bookmarkStart w:id="63" w:name="_Toc15554"/>
      <w:r>
        <w:rPr>
          <w:rFonts w:hint="eastAsia" w:ascii="宋体" w:hAnsi="宋体" w:eastAsia="宋体" w:cs="宋体"/>
          <w:color w:val="auto"/>
          <w:sz w:val="24"/>
          <w:szCs w:val="24"/>
          <w:highlight w:val="none"/>
        </w:rPr>
        <w:t>4.合格的投标人</w:t>
      </w:r>
      <w:bookmarkEnd w:id="62"/>
      <w:bookmarkEnd w:id="63"/>
    </w:p>
    <w:p w14:paraId="062E916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4.1合格的投标人：见“投标人须知前附表”。</w:t>
      </w:r>
    </w:p>
    <w:p w14:paraId="438E031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4.2本次招标不接受联合体投标。</w:t>
      </w:r>
    </w:p>
    <w:p w14:paraId="3A19C3A1">
      <w:pPr>
        <w:pStyle w:val="5"/>
        <w:spacing w:before="0"/>
        <w:ind w:left="420" w:hanging="420"/>
        <w:rPr>
          <w:rFonts w:hint="eastAsia" w:ascii="宋体" w:hAnsi="宋体" w:eastAsia="宋体" w:cs="宋体"/>
          <w:color w:val="auto"/>
          <w:sz w:val="24"/>
          <w:szCs w:val="24"/>
          <w:highlight w:val="none"/>
        </w:rPr>
      </w:pPr>
      <w:bookmarkStart w:id="64" w:name="_Toc7676"/>
      <w:bookmarkStart w:id="65" w:name="_Toc14599"/>
      <w:r>
        <w:rPr>
          <w:rFonts w:hint="eastAsia" w:ascii="宋体" w:hAnsi="宋体" w:eastAsia="宋体" w:cs="宋体"/>
          <w:color w:val="auto"/>
          <w:sz w:val="24"/>
          <w:szCs w:val="24"/>
          <w:highlight w:val="none"/>
        </w:rPr>
        <w:t>5.投标费用</w:t>
      </w:r>
      <w:bookmarkEnd w:id="64"/>
      <w:bookmarkEnd w:id="65"/>
    </w:p>
    <w:p w14:paraId="0972C0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不论投标结果如何，投标人均应自行承担所有与准备和参加投标活动有关的全部费用。</w:t>
      </w:r>
    </w:p>
    <w:p w14:paraId="124BB26B">
      <w:pPr>
        <w:pStyle w:val="4"/>
        <w:spacing w:before="0"/>
        <w:jc w:val="center"/>
        <w:rPr>
          <w:rFonts w:hint="eastAsia" w:ascii="宋体" w:hAnsi="宋体" w:eastAsia="宋体" w:cs="宋体"/>
          <w:color w:val="auto"/>
          <w:szCs w:val="28"/>
          <w:highlight w:val="none"/>
        </w:rPr>
      </w:pPr>
      <w:bookmarkStart w:id="66" w:name="_Toc25159"/>
      <w:bookmarkStart w:id="67" w:name="_Toc24398"/>
      <w:bookmarkStart w:id="68" w:name="_Toc19732"/>
      <w:bookmarkStart w:id="69" w:name="_Toc31177"/>
      <w:r>
        <w:rPr>
          <w:rFonts w:hint="eastAsia" w:ascii="宋体" w:hAnsi="宋体" w:eastAsia="宋体" w:cs="宋体"/>
          <w:color w:val="auto"/>
          <w:szCs w:val="28"/>
          <w:highlight w:val="none"/>
        </w:rPr>
        <w:t>二、招标文件</w:t>
      </w:r>
      <w:bookmarkEnd w:id="66"/>
      <w:bookmarkEnd w:id="67"/>
      <w:bookmarkEnd w:id="68"/>
      <w:bookmarkEnd w:id="69"/>
    </w:p>
    <w:p w14:paraId="7D087089">
      <w:pPr>
        <w:pStyle w:val="5"/>
        <w:spacing w:before="0" w:line="400" w:lineRule="exact"/>
        <w:ind w:left="420" w:hanging="420"/>
        <w:rPr>
          <w:rFonts w:hint="eastAsia" w:ascii="宋体" w:hAnsi="宋体" w:eastAsia="宋体" w:cs="宋体"/>
          <w:color w:val="auto"/>
          <w:sz w:val="24"/>
          <w:szCs w:val="24"/>
          <w:highlight w:val="none"/>
        </w:rPr>
      </w:pPr>
      <w:bookmarkStart w:id="70" w:name="_Toc3105"/>
      <w:bookmarkStart w:id="71" w:name="_Toc10063"/>
      <w:r>
        <w:rPr>
          <w:rFonts w:hint="eastAsia" w:ascii="宋体" w:hAnsi="宋体" w:eastAsia="宋体" w:cs="宋体"/>
          <w:color w:val="auto"/>
          <w:sz w:val="24"/>
          <w:szCs w:val="24"/>
          <w:highlight w:val="none"/>
        </w:rPr>
        <w:t>6.招标文件构成</w:t>
      </w:r>
      <w:bookmarkEnd w:id="70"/>
      <w:bookmarkEnd w:id="71"/>
    </w:p>
    <w:p w14:paraId="47D224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6.1招标文件包括：包含招标公告（或投标邀请书）、投标人须知、合同</w:t>
      </w:r>
      <w:r>
        <w:rPr>
          <w:rFonts w:hint="eastAsia" w:ascii="宋体" w:hAnsi="宋体" w:eastAsia="宋体" w:cs="宋体"/>
          <w:color w:val="auto"/>
          <w:sz w:val="24"/>
          <w:highlight w:val="none"/>
          <w:lang w:val="en-US" w:eastAsia="zh-CN"/>
        </w:rPr>
        <w:t>书样式及主要</w:t>
      </w:r>
      <w:r>
        <w:rPr>
          <w:rFonts w:hint="eastAsia" w:ascii="宋体" w:hAnsi="宋体" w:eastAsia="宋体" w:cs="宋体"/>
          <w:color w:val="auto"/>
          <w:sz w:val="24"/>
          <w:highlight w:val="none"/>
        </w:rPr>
        <w:t>条款、</w:t>
      </w:r>
      <w:r>
        <w:rPr>
          <w:rFonts w:hint="eastAsia" w:ascii="宋体" w:hAnsi="宋体" w:eastAsia="宋体" w:cs="宋体"/>
          <w:color w:val="auto"/>
          <w:sz w:val="24"/>
          <w:highlight w:val="none"/>
          <w:lang w:val="en-US" w:eastAsia="zh-CN"/>
        </w:rPr>
        <w:t>采购需</w:t>
      </w:r>
      <w:r>
        <w:rPr>
          <w:rFonts w:hint="eastAsia" w:ascii="宋体" w:hAnsi="宋体" w:eastAsia="宋体" w:cs="宋体"/>
          <w:color w:val="auto"/>
          <w:sz w:val="24"/>
          <w:highlight w:val="none"/>
        </w:rPr>
        <w:t>求、</w:t>
      </w:r>
      <w:r>
        <w:rPr>
          <w:rFonts w:hint="eastAsia" w:ascii="宋体" w:hAnsi="宋体" w:eastAsia="宋体" w:cs="宋体"/>
          <w:color w:val="auto"/>
          <w:sz w:val="24"/>
          <w:highlight w:val="none"/>
          <w:lang w:val="en-US" w:eastAsia="zh-CN"/>
        </w:rPr>
        <w:t>资格评审标准、</w:t>
      </w:r>
      <w:r>
        <w:rPr>
          <w:rFonts w:hint="eastAsia" w:ascii="宋体" w:hAnsi="宋体" w:eastAsia="宋体" w:cs="宋体"/>
          <w:color w:val="auto"/>
          <w:sz w:val="24"/>
          <w:highlight w:val="none"/>
        </w:rPr>
        <w:t>评标办法、投标文件格式、投标人须知前附表规定的其他材料；</w:t>
      </w:r>
    </w:p>
    <w:p w14:paraId="63CBDF0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6.2根据本章对招标文件所作的澄清、修改，构成招标文件的组成部分。</w:t>
      </w:r>
    </w:p>
    <w:p w14:paraId="1F381EA9">
      <w:pPr>
        <w:pStyle w:val="5"/>
        <w:spacing w:before="0" w:line="400" w:lineRule="exact"/>
        <w:ind w:left="420" w:hanging="420"/>
        <w:rPr>
          <w:rFonts w:hint="eastAsia" w:ascii="宋体" w:hAnsi="宋体" w:eastAsia="宋体" w:cs="宋体"/>
          <w:color w:val="auto"/>
          <w:sz w:val="24"/>
          <w:szCs w:val="24"/>
          <w:highlight w:val="none"/>
        </w:rPr>
      </w:pPr>
      <w:bookmarkStart w:id="72" w:name="_Toc14159"/>
      <w:bookmarkStart w:id="73" w:name="_Toc6583"/>
      <w:r>
        <w:rPr>
          <w:rFonts w:hint="eastAsia" w:ascii="宋体" w:hAnsi="宋体" w:eastAsia="宋体" w:cs="宋体"/>
          <w:color w:val="auto"/>
          <w:sz w:val="24"/>
          <w:szCs w:val="24"/>
          <w:highlight w:val="none"/>
        </w:rPr>
        <w:t>7.招标文件的澄清</w:t>
      </w:r>
      <w:bookmarkEnd w:id="72"/>
      <w:bookmarkEnd w:id="73"/>
    </w:p>
    <w:p w14:paraId="46FCEA53">
      <w:pPr>
        <w:spacing w:line="360" w:lineRule="auto"/>
        <w:ind w:firstLine="480" w:firstLineChars="200"/>
        <w:jc w:val="left"/>
        <w:rPr>
          <w:rFonts w:hint="eastAsia" w:ascii="宋体" w:hAnsi="宋体" w:eastAsia="宋体" w:cs="宋体"/>
          <w:color w:val="auto"/>
          <w:sz w:val="24"/>
          <w:highlight w:val="none"/>
        </w:rPr>
      </w:pPr>
      <w:bookmarkStart w:id="74" w:name="_Toc12923"/>
      <w:r>
        <w:rPr>
          <w:rFonts w:hint="eastAsia" w:ascii="宋体" w:hAnsi="宋体" w:eastAsia="宋体" w:cs="宋体"/>
          <w:color w:val="auto"/>
          <w:sz w:val="24"/>
          <w:highlight w:val="none"/>
        </w:rPr>
        <w:t>7.1投标人应认真核查招标文件，如有疑问的，投标人可以在 “投标人须知前附表”规定截止时间前以在线不署名提交要求采购人澄清，截止时间后送达的澄清要求不予接受。所有获取了采购文件的潜在投标人凭企业数字证书（CA）登录政采云平台（https://www.zcygov.cn/），通过在线方式进行不署名提问。</w:t>
      </w:r>
    </w:p>
    <w:p w14:paraId="6FB63D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任何要求对招标文件进行澄清的潜在投标人，在政采云平台及书面形式通知采购代理机构。采购代理机构对投标人自获取招标文件之日起7个工作日内收到的对招标文件的澄清要求均以书面形式予以答复，同时将书面答复通知每个获取招标文件的投标人，答复中包括所问问题，但不包括问题的来源；逾期提交的的疑问问题将不予回答。</w:t>
      </w:r>
    </w:p>
    <w:p w14:paraId="3D521AAE">
      <w:pPr>
        <w:pStyle w:val="5"/>
        <w:spacing w:before="0" w:line="400" w:lineRule="exact"/>
        <w:rPr>
          <w:rFonts w:hint="eastAsia" w:ascii="宋体" w:hAnsi="宋体" w:eastAsia="宋体" w:cs="宋体"/>
          <w:color w:val="auto"/>
          <w:sz w:val="24"/>
          <w:szCs w:val="24"/>
          <w:highlight w:val="none"/>
        </w:rPr>
      </w:pPr>
      <w:bookmarkStart w:id="75" w:name="_Toc21716"/>
      <w:r>
        <w:rPr>
          <w:rFonts w:hint="eastAsia" w:ascii="宋体" w:hAnsi="宋体" w:eastAsia="宋体" w:cs="宋体"/>
          <w:color w:val="auto"/>
          <w:sz w:val="24"/>
          <w:szCs w:val="24"/>
          <w:highlight w:val="none"/>
        </w:rPr>
        <w:t>8.招标文件的修改</w:t>
      </w:r>
      <w:bookmarkEnd w:id="74"/>
      <w:bookmarkEnd w:id="75"/>
    </w:p>
    <w:p w14:paraId="11D66D2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8.1在投标截止时间15天前，确需要变更招标文件内容的，采购人可主动或在解答投标人提出的澄清问题时对招标文件进行修改，并同时报主管部门备案。无论对评标办法、评审项目等重要评审内容作何种变更，都要重新制作技术标招标文件，并重新备案，同时发布补遗文件进行说明以保证各投标人都能获取招标文件用于编制投标文件。招标文件的修改将在原公告发布网站发布，招标文件的修改作为招标文件的组成部分，并具有约束力。</w:t>
      </w:r>
    </w:p>
    <w:p w14:paraId="6A25AF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8.2投标人应在投标截止时间前及时登录政采云平台（https://www.zcygov.cn/）中查看有关该公开招标文件的答疑、补遗内容。否则，后果自负。</w:t>
      </w:r>
    </w:p>
    <w:p w14:paraId="42BA8A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8.3招标文件澄清、招标文件修改文件内容均以网上电子文件为准，当招标文件、招标文件澄清、招标文件修改文件内容前后相互矛盾时，以最后发出的为准。</w:t>
      </w:r>
    </w:p>
    <w:p w14:paraId="096124FA">
      <w:pPr>
        <w:pStyle w:val="4"/>
        <w:spacing w:before="0"/>
        <w:jc w:val="center"/>
        <w:rPr>
          <w:rFonts w:hint="eastAsia" w:ascii="宋体" w:hAnsi="宋体" w:eastAsia="宋体" w:cs="宋体"/>
          <w:color w:val="auto"/>
          <w:szCs w:val="28"/>
          <w:highlight w:val="none"/>
        </w:rPr>
      </w:pPr>
      <w:bookmarkStart w:id="76" w:name="_Toc3593"/>
      <w:bookmarkStart w:id="77" w:name="_Toc10777"/>
      <w:bookmarkStart w:id="78" w:name="_Toc3303"/>
      <w:bookmarkStart w:id="79" w:name="_Toc10431"/>
      <w:r>
        <w:rPr>
          <w:rFonts w:hint="eastAsia" w:ascii="宋体" w:hAnsi="宋体" w:eastAsia="宋体" w:cs="宋体"/>
          <w:color w:val="auto"/>
          <w:szCs w:val="28"/>
          <w:highlight w:val="none"/>
        </w:rPr>
        <w:t>三、投标文件的编制</w:t>
      </w:r>
      <w:bookmarkEnd w:id="76"/>
      <w:bookmarkEnd w:id="77"/>
      <w:bookmarkEnd w:id="78"/>
      <w:bookmarkEnd w:id="79"/>
    </w:p>
    <w:p w14:paraId="6ED44CAE">
      <w:pPr>
        <w:pStyle w:val="5"/>
        <w:spacing w:before="0"/>
        <w:ind w:left="420" w:hanging="420"/>
        <w:rPr>
          <w:rFonts w:hint="eastAsia" w:ascii="宋体" w:hAnsi="宋体" w:eastAsia="宋体" w:cs="宋体"/>
          <w:color w:val="auto"/>
          <w:sz w:val="24"/>
          <w:szCs w:val="24"/>
          <w:highlight w:val="none"/>
        </w:rPr>
      </w:pPr>
      <w:bookmarkStart w:id="80" w:name="_Toc13675"/>
      <w:bookmarkStart w:id="81" w:name="_Toc8272"/>
      <w:r>
        <w:rPr>
          <w:rFonts w:hint="eastAsia" w:ascii="宋体" w:hAnsi="宋体" w:eastAsia="宋体" w:cs="宋体"/>
          <w:color w:val="auto"/>
          <w:sz w:val="24"/>
          <w:szCs w:val="24"/>
          <w:highlight w:val="none"/>
        </w:rPr>
        <w:t>9.投标文件编写注意事项</w:t>
      </w:r>
      <w:bookmarkEnd w:id="80"/>
      <w:bookmarkEnd w:id="81"/>
    </w:p>
    <w:p w14:paraId="618EA27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9.1 投标人应仔细阅读招标文件，在完全了解采购的内容、技术性能要求（见第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章“采购需求”）和商务条件后，编写投标文件。如果没有按照招标文件要求提交全部投标文件或者资料，没有对招标文件的实质性要求和条件作出响应是投标人的风险，并可能导致该投标被拒绝。</w:t>
      </w:r>
    </w:p>
    <w:p w14:paraId="37FAFD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bCs/>
          <w:color w:val="auto"/>
          <w:sz w:val="24"/>
          <w:highlight w:val="none"/>
        </w:rPr>
        <w:t>9.2投标文件的</w:t>
      </w:r>
      <w:r>
        <w:rPr>
          <w:rFonts w:hint="eastAsia" w:ascii="宋体" w:hAnsi="宋体" w:eastAsia="宋体" w:cs="宋体"/>
          <w:color w:val="auto"/>
          <w:sz w:val="24"/>
          <w:highlight w:val="none"/>
        </w:rPr>
        <w:t xml:space="preserve">签署按“投标人须知前附表”。 </w:t>
      </w:r>
    </w:p>
    <w:p w14:paraId="32E3B9C2">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9.3实质性要求和条件按“投标人须知</w:t>
      </w:r>
      <w:r>
        <w:rPr>
          <w:rFonts w:hint="eastAsia" w:ascii="宋体" w:hAnsi="宋体" w:eastAsia="宋体" w:cs="宋体"/>
          <w:bCs/>
          <w:color w:val="auto"/>
          <w:sz w:val="24"/>
          <w:highlight w:val="none"/>
        </w:rPr>
        <w:t>前附表”。</w:t>
      </w:r>
    </w:p>
    <w:p w14:paraId="655A195F">
      <w:pPr>
        <w:pStyle w:val="5"/>
        <w:spacing w:before="0"/>
        <w:ind w:left="420" w:hanging="420"/>
        <w:rPr>
          <w:rFonts w:hint="eastAsia" w:ascii="宋体" w:hAnsi="宋体" w:eastAsia="宋体" w:cs="宋体"/>
          <w:color w:val="auto"/>
          <w:sz w:val="24"/>
          <w:szCs w:val="24"/>
          <w:highlight w:val="none"/>
        </w:rPr>
      </w:pPr>
      <w:bookmarkStart w:id="82" w:name="_Toc5686"/>
      <w:bookmarkStart w:id="83" w:name="_Toc31672"/>
      <w:r>
        <w:rPr>
          <w:rFonts w:hint="eastAsia" w:ascii="宋体" w:hAnsi="宋体" w:eastAsia="宋体" w:cs="宋体"/>
          <w:color w:val="auto"/>
          <w:sz w:val="24"/>
          <w:szCs w:val="24"/>
          <w:highlight w:val="none"/>
        </w:rPr>
        <w:t>10.语言及计量单位</w:t>
      </w:r>
      <w:bookmarkEnd w:id="82"/>
      <w:bookmarkEnd w:id="83"/>
    </w:p>
    <w:p w14:paraId="4C8C3F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10.1投标人的投标文件以及投标人与采购代理机构就有关投标的所有来往函电统一使用中文（特别规定除外）。</w:t>
      </w:r>
    </w:p>
    <w:p w14:paraId="3B78AA1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10.2投标文件中使用的计量单位除招标文件中有特殊规定外，一律使用中国法定计量单位。</w:t>
      </w:r>
    </w:p>
    <w:p w14:paraId="1F20F4B1">
      <w:pPr>
        <w:pStyle w:val="5"/>
        <w:spacing w:before="0"/>
        <w:ind w:left="420" w:hanging="420"/>
        <w:rPr>
          <w:rFonts w:hint="eastAsia" w:ascii="宋体" w:hAnsi="宋体" w:eastAsia="宋体" w:cs="宋体"/>
          <w:color w:val="auto"/>
          <w:sz w:val="24"/>
          <w:szCs w:val="24"/>
          <w:highlight w:val="none"/>
        </w:rPr>
      </w:pPr>
      <w:bookmarkStart w:id="84" w:name="_Toc29623"/>
      <w:bookmarkStart w:id="85" w:name="_Toc15107"/>
      <w:r>
        <w:rPr>
          <w:rFonts w:hint="eastAsia" w:ascii="宋体" w:hAnsi="宋体" w:eastAsia="宋体" w:cs="宋体"/>
          <w:color w:val="auto"/>
          <w:sz w:val="24"/>
          <w:szCs w:val="24"/>
          <w:highlight w:val="none"/>
        </w:rPr>
        <w:t>11.投标文件的格式要求</w:t>
      </w:r>
      <w:bookmarkEnd w:id="84"/>
      <w:bookmarkEnd w:id="85"/>
    </w:p>
    <w:p w14:paraId="4E57EBB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11.1投标文件资格审查部分按第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章“投标文件格式”资格审查部分中的内容。</w:t>
      </w:r>
    </w:p>
    <w:p w14:paraId="1DFA94E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11.2投标文件商务技术部分按第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章“投标文件格式”商务技术部分中的内容。</w:t>
      </w:r>
    </w:p>
    <w:p w14:paraId="312F88C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11.3投标人在评标过程中作出的符合法律法规和招标文件规定的澄清确认，构成投标文件的组成部分。</w:t>
      </w:r>
    </w:p>
    <w:p w14:paraId="079F4E35">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11.4构成投标文件的其他资料按“须知前附表”。</w:t>
      </w:r>
    </w:p>
    <w:p w14:paraId="0587E9CD">
      <w:pPr>
        <w:pStyle w:val="5"/>
        <w:spacing w:before="0"/>
        <w:ind w:left="420" w:hanging="420"/>
        <w:rPr>
          <w:rFonts w:hint="eastAsia" w:ascii="宋体" w:hAnsi="宋体" w:eastAsia="宋体" w:cs="宋体"/>
          <w:color w:val="auto"/>
          <w:sz w:val="24"/>
          <w:szCs w:val="24"/>
          <w:highlight w:val="none"/>
        </w:rPr>
      </w:pPr>
      <w:bookmarkStart w:id="86" w:name="_Toc21267"/>
      <w:bookmarkStart w:id="87" w:name="_Toc9785"/>
      <w:r>
        <w:rPr>
          <w:rFonts w:hint="eastAsia" w:ascii="宋体" w:hAnsi="宋体" w:eastAsia="宋体" w:cs="宋体"/>
          <w:color w:val="auto"/>
          <w:sz w:val="24"/>
          <w:szCs w:val="24"/>
          <w:highlight w:val="none"/>
        </w:rPr>
        <w:t>12.投标报价</w:t>
      </w:r>
      <w:bookmarkEnd w:id="86"/>
      <w:bookmarkEnd w:id="87"/>
    </w:p>
    <w:p w14:paraId="4A2106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12.1投标人须就“采购需求”中的所投包内容作</w:t>
      </w:r>
      <w:r>
        <w:rPr>
          <w:rFonts w:hint="eastAsia" w:ascii="宋体" w:hAnsi="宋体" w:eastAsia="宋体" w:cs="宋体"/>
          <w:color w:val="auto"/>
          <w:sz w:val="24"/>
          <w:highlight w:val="none"/>
          <w:lang w:val="en-US" w:eastAsia="zh-CN"/>
        </w:rPr>
        <w:t>出</w:t>
      </w:r>
      <w:r>
        <w:rPr>
          <w:rFonts w:hint="eastAsia" w:ascii="宋体" w:hAnsi="宋体" w:eastAsia="宋体" w:cs="宋体"/>
          <w:color w:val="auto"/>
          <w:sz w:val="24"/>
          <w:highlight w:val="none"/>
        </w:rPr>
        <w:t>完整唯一报价。</w:t>
      </w:r>
    </w:p>
    <w:p w14:paraId="700FFD6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w:t>
      </w:r>
      <w:r>
        <w:rPr>
          <w:rFonts w:hint="eastAsia" w:ascii="宋体" w:hAnsi="宋体" w:eastAsia="宋体" w:cs="宋体"/>
          <w:b/>
          <w:bCs/>
          <w:color w:val="auto"/>
          <w:sz w:val="24"/>
          <w:highlight w:val="none"/>
        </w:rPr>
        <w:t>本项目采用包干总价方式报价</w:t>
      </w:r>
      <w:r>
        <w:rPr>
          <w:rFonts w:hint="eastAsia" w:ascii="宋体" w:hAnsi="宋体" w:eastAsia="宋体" w:cs="宋体"/>
          <w:color w:val="auto"/>
          <w:sz w:val="24"/>
          <w:highlight w:val="none"/>
        </w:rPr>
        <w:t>，此价格在合同签订后将不作调整。</w:t>
      </w:r>
    </w:p>
    <w:p w14:paraId="30796B6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投标报价包括但不仅限于劳务费（工资、劳保、各种保险及国家规定的相关福利等），设备使用费，</w:t>
      </w:r>
      <w:r>
        <w:rPr>
          <w:rFonts w:hint="eastAsia" w:ascii="宋体" w:hAnsi="宋体" w:eastAsia="宋体" w:cs="宋体"/>
          <w:color w:val="auto"/>
          <w:sz w:val="24"/>
          <w:highlight w:val="none"/>
          <w:lang w:val="en-US" w:eastAsia="zh-CN"/>
        </w:rPr>
        <w:t>材料费，</w:t>
      </w:r>
      <w:r>
        <w:rPr>
          <w:rFonts w:hint="eastAsia" w:ascii="宋体" w:hAnsi="宋体" w:eastAsia="宋体" w:cs="宋体"/>
          <w:color w:val="auto"/>
          <w:sz w:val="24"/>
          <w:highlight w:val="none"/>
        </w:rPr>
        <w:t>耗材费，安装调试费，市场价格变化的风险费用、利润、税金等的总和，该报价应考虑市场风险、政策性风险、汇率风险等因素，并能保证投标人完成履行合同所需的全部工作，此价格在合同签订后将不作调整</w:t>
      </w:r>
    </w:p>
    <w:p w14:paraId="3D1B1D2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12.3投标人的投标报价应依据招标文件的要求及有关资料，执行国家规定的现行技术、经济标准、定额及规范，由投标人自行测算出现行市场的各类价格。报价应符合国内行情并能保证投标人完成履行合同所需的一切工作。合同一旦签订，此合同价格在合同实施期间将不因市场设备材料价格的变化而调整。</w:t>
      </w:r>
    </w:p>
    <w:p w14:paraId="54391703">
      <w:pPr>
        <w:pStyle w:val="5"/>
        <w:spacing w:before="0"/>
        <w:ind w:left="420" w:hanging="420"/>
        <w:rPr>
          <w:rFonts w:hint="eastAsia" w:ascii="宋体" w:hAnsi="宋体" w:eastAsia="宋体" w:cs="宋体"/>
          <w:color w:val="auto"/>
          <w:sz w:val="24"/>
          <w:szCs w:val="24"/>
          <w:highlight w:val="none"/>
        </w:rPr>
      </w:pPr>
      <w:bookmarkStart w:id="88" w:name="_Toc27053"/>
      <w:bookmarkStart w:id="89" w:name="_Toc3488"/>
      <w:r>
        <w:rPr>
          <w:rFonts w:hint="eastAsia" w:ascii="宋体" w:hAnsi="宋体" w:eastAsia="宋体" w:cs="宋体"/>
          <w:color w:val="auto"/>
          <w:sz w:val="24"/>
          <w:szCs w:val="24"/>
          <w:highlight w:val="none"/>
        </w:rPr>
        <w:t>13.投标货币</w:t>
      </w:r>
      <w:bookmarkEnd w:id="88"/>
      <w:bookmarkEnd w:id="89"/>
    </w:p>
    <w:p w14:paraId="2D34A562">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投标应以人民币报价。</w:t>
      </w:r>
    </w:p>
    <w:p w14:paraId="57B96B87">
      <w:pPr>
        <w:pStyle w:val="5"/>
        <w:spacing w:before="0"/>
        <w:ind w:left="420" w:hanging="420"/>
        <w:rPr>
          <w:rFonts w:hint="eastAsia" w:ascii="宋体" w:hAnsi="宋体" w:eastAsia="宋体" w:cs="宋体"/>
          <w:color w:val="auto"/>
          <w:sz w:val="24"/>
          <w:szCs w:val="24"/>
          <w:highlight w:val="none"/>
        </w:rPr>
      </w:pPr>
      <w:bookmarkStart w:id="90" w:name="_Toc12115"/>
      <w:bookmarkStart w:id="91" w:name="_Toc29421"/>
      <w:r>
        <w:rPr>
          <w:rFonts w:hint="eastAsia" w:ascii="宋体" w:hAnsi="宋体" w:eastAsia="宋体" w:cs="宋体"/>
          <w:color w:val="auto"/>
          <w:sz w:val="24"/>
          <w:szCs w:val="24"/>
          <w:highlight w:val="none"/>
        </w:rPr>
        <w:t>14.投标有效期</w:t>
      </w:r>
      <w:bookmarkEnd w:id="90"/>
      <w:bookmarkEnd w:id="91"/>
    </w:p>
    <w:p w14:paraId="7F5F0C7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14.1 在“</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”规定的投标有效期内，投标人不得要求撤销或修改其投标文件。</w:t>
      </w:r>
    </w:p>
    <w:p w14:paraId="7C6DCC5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14.2 因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1B458F9C">
      <w:pPr>
        <w:pStyle w:val="5"/>
        <w:spacing w:before="0"/>
        <w:ind w:left="420" w:hanging="420"/>
        <w:rPr>
          <w:rFonts w:hint="eastAsia" w:ascii="宋体" w:hAnsi="宋体" w:eastAsia="宋体" w:cs="宋体"/>
          <w:color w:val="auto"/>
          <w:sz w:val="24"/>
          <w:szCs w:val="24"/>
          <w:highlight w:val="none"/>
        </w:rPr>
      </w:pPr>
      <w:bookmarkStart w:id="92" w:name="_Toc1140"/>
      <w:bookmarkStart w:id="93" w:name="_Toc29621"/>
      <w:r>
        <w:rPr>
          <w:rFonts w:hint="eastAsia" w:ascii="宋体" w:hAnsi="宋体" w:eastAsia="宋体" w:cs="宋体"/>
          <w:color w:val="auto"/>
          <w:sz w:val="24"/>
          <w:szCs w:val="24"/>
          <w:highlight w:val="none"/>
        </w:rPr>
        <w:t>15.投标文件的书写要求</w:t>
      </w:r>
      <w:bookmarkEnd w:id="92"/>
      <w:bookmarkEnd w:id="93"/>
    </w:p>
    <w:p w14:paraId="56A31156">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15.1投标人应按第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章“投标文件格式”提供的格式进行编制。</w:t>
      </w:r>
    </w:p>
    <w:p w14:paraId="48DCFCE3">
      <w:pPr>
        <w:pStyle w:val="5"/>
        <w:spacing w:before="0"/>
        <w:ind w:left="420" w:hanging="420"/>
        <w:rPr>
          <w:rFonts w:hint="eastAsia" w:ascii="宋体" w:hAnsi="宋体" w:eastAsia="宋体" w:cs="宋体"/>
          <w:color w:val="auto"/>
          <w:sz w:val="24"/>
          <w:szCs w:val="24"/>
          <w:highlight w:val="none"/>
        </w:rPr>
      </w:pPr>
      <w:bookmarkStart w:id="94" w:name="_Toc20631"/>
      <w:bookmarkStart w:id="95" w:name="_Toc20660"/>
      <w:r>
        <w:rPr>
          <w:rFonts w:hint="eastAsia" w:ascii="宋体" w:hAnsi="宋体" w:eastAsia="宋体" w:cs="宋体"/>
          <w:color w:val="auto"/>
          <w:sz w:val="24"/>
          <w:szCs w:val="24"/>
          <w:highlight w:val="none"/>
        </w:rPr>
        <w:t>16.投标保证金</w:t>
      </w:r>
      <w:bookmarkEnd w:id="94"/>
      <w:bookmarkEnd w:id="95"/>
    </w:p>
    <w:p w14:paraId="60DE78D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16.1保证金为人民币。投标人应在递交投标文件截止时间以前按“投标人须知前附表”规定的方式及金额缴纳，并在投标有效期内保持有效。</w:t>
      </w:r>
    </w:p>
    <w:p w14:paraId="51CEAA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16.2投标人不按投标须知前附表要求提交投标保证金的，其投标文件作废标处理。</w:t>
      </w:r>
    </w:p>
    <w:p w14:paraId="007FD8E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16.3有下列情形之一的，投标保证金不予退还：</w:t>
      </w:r>
    </w:p>
    <w:p w14:paraId="43B1067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（1）投标人在提交投标文件截止时间后撤回投标文件的；</w:t>
      </w:r>
    </w:p>
    <w:p w14:paraId="7951AF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（2）除因不可抗力或招标文件认可的情形以外，中标人不与采购人签订合同的；</w:t>
      </w:r>
    </w:p>
    <w:p w14:paraId="4DD866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（3）法律法规规定的其他情形。</w:t>
      </w:r>
    </w:p>
    <w:p w14:paraId="01E2341F">
      <w:pPr>
        <w:pStyle w:val="52"/>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16.4投标保证金退还方式：详见投标人须知前附表。</w:t>
      </w:r>
    </w:p>
    <w:p w14:paraId="5DF62C07">
      <w:pPr>
        <w:pStyle w:val="4"/>
        <w:spacing w:before="0"/>
        <w:jc w:val="center"/>
        <w:rPr>
          <w:rFonts w:hint="eastAsia" w:ascii="宋体" w:hAnsi="宋体" w:eastAsia="宋体" w:cs="宋体"/>
          <w:color w:val="auto"/>
          <w:szCs w:val="28"/>
          <w:highlight w:val="none"/>
        </w:rPr>
      </w:pPr>
      <w:bookmarkStart w:id="96" w:name="_Toc9485"/>
      <w:bookmarkStart w:id="97" w:name="_Toc15588"/>
      <w:bookmarkStart w:id="98" w:name="_Toc21908"/>
      <w:bookmarkStart w:id="99" w:name="_Toc5769"/>
      <w:r>
        <w:rPr>
          <w:rFonts w:hint="eastAsia" w:ascii="宋体" w:hAnsi="宋体" w:eastAsia="宋体" w:cs="宋体"/>
          <w:color w:val="auto"/>
          <w:szCs w:val="28"/>
          <w:highlight w:val="none"/>
        </w:rPr>
        <w:t>四、投标文件的提交</w:t>
      </w:r>
      <w:bookmarkEnd w:id="96"/>
      <w:bookmarkEnd w:id="97"/>
      <w:bookmarkEnd w:id="98"/>
      <w:bookmarkEnd w:id="99"/>
    </w:p>
    <w:p w14:paraId="4803ED2D">
      <w:pPr>
        <w:pStyle w:val="5"/>
        <w:spacing w:before="0"/>
        <w:ind w:left="420" w:hanging="420"/>
        <w:rPr>
          <w:rFonts w:hint="eastAsia" w:ascii="宋体" w:hAnsi="宋体" w:eastAsia="宋体" w:cs="宋体"/>
          <w:color w:val="auto"/>
          <w:sz w:val="24"/>
          <w:szCs w:val="24"/>
          <w:highlight w:val="none"/>
        </w:rPr>
      </w:pPr>
      <w:bookmarkStart w:id="100" w:name="_Toc15043"/>
      <w:bookmarkStart w:id="101" w:name="_Toc19263"/>
      <w:r>
        <w:rPr>
          <w:rFonts w:hint="eastAsia" w:ascii="宋体" w:hAnsi="宋体" w:eastAsia="宋体" w:cs="宋体"/>
          <w:color w:val="auto"/>
          <w:sz w:val="24"/>
          <w:szCs w:val="24"/>
          <w:highlight w:val="none"/>
        </w:rPr>
        <w:t>17.投标文件的密封与标记</w:t>
      </w:r>
      <w:bookmarkEnd w:id="100"/>
      <w:bookmarkEnd w:id="101"/>
    </w:p>
    <w:p w14:paraId="59AE9FA7">
      <w:pPr>
        <w:spacing w:line="360" w:lineRule="auto"/>
        <w:ind w:firstLine="480" w:firstLineChars="200"/>
        <w:jc w:val="left"/>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17.1 投标人应按“</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”中规定加密上传递交。</w:t>
      </w:r>
    </w:p>
    <w:p w14:paraId="1B2FAE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17.2 投标人未按要求加密、上传的，不予接收。</w:t>
      </w:r>
    </w:p>
    <w:p w14:paraId="0F415126">
      <w:pPr>
        <w:pStyle w:val="5"/>
        <w:spacing w:before="0"/>
        <w:ind w:left="420" w:hanging="420"/>
        <w:rPr>
          <w:rFonts w:hint="eastAsia" w:ascii="宋体" w:hAnsi="宋体" w:eastAsia="宋体" w:cs="宋体"/>
          <w:color w:val="auto"/>
          <w:sz w:val="24"/>
          <w:szCs w:val="24"/>
          <w:highlight w:val="none"/>
        </w:rPr>
      </w:pPr>
      <w:bookmarkStart w:id="102" w:name="_Toc31570"/>
      <w:bookmarkStart w:id="103" w:name="_Toc21021"/>
      <w:r>
        <w:rPr>
          <w:rFonts w:hint="eastAsia" w:ascii="宋体" w:hAnsi="宋体" w:eastAsia="宋体" w:cs="宋体"/>
          <w:color w:val="auto"/>
          <w:sz w:val="24"/>
          <w:szCs w:val="24"/>
          <w:highlight w:val="none"/>
        </w:rPr>
        <w:t>18.提交投标文件的截止时间和地点</w:t>
      </w:r>
      <w:bookmarkEnd w:id="102"/>
      <w:bookmarkEnd w:id="103"/>
    </w:p>
    <w:p w14:paraId="57D2E2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18.1投标人应在投标人须知前附表规定的投标截止时间前递交投标文件。</w:t>
      </w:r>
    </w:p>
    <w:p w14:paraId="50386A8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18.2投标人提交投标文件的时间和地点：见投标人须知前附表。</w:t>
      </w:r>
    </w:p>
    <w:p w14:paraId="1F5C1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18.3除投标人须知前附表另有规定外，投标人所递交的投标文件不予退还。</w:t>
      </w:r>
    </w:p>
    <w:p w14:paraId="2AD1B1C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18.4逾期送达的、未送达指定地点的或者不按照招标文件要求加密上传的投标文件，视为撤回投标文件，采购人不予受理。</w:t>
      </w:r>
    </w:p>
    <w:p w14:paraId="499E7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18.5是否退还投标文件：按须知前附表。</w:t>
      </w:r>
    </w:p>
    <w:p w14:paraId="5F2EA6EB">
      <w:pPr>
        <w:pStyle w:val="5"/>
        <w:spacing w:before="0"/>
        <w:ind w:left="420" w:hanging="420"/>
        <w:rPr>
          <w:rFonts w:hint="eastAsia" w:ascii="宋体" w:hAnsi="宋体" w:eastAsia="宋体" w:cs="宋体"/>
          <w:color w:val="auto"/>
          <w:sz w:val="24"/>
          <w:szCs w:val="24"/>
          <w:highlight w:val="none"/>
        </w:rPr>
      </w:pPr>
      <w:bookmarkStart w:id="104" w:name="_Toc55305425"/>
      <w:bookmarkStart w:id="105" w:name="_Toc26532"/>
      <w:bookmarkStart w:id="106" w:name="_Toc17324"/>
      <w:r>
        <w:rPr>
          <w:rFonts w:hint="eastAsia" w:ascii="宋体" w:hAnsi="宋体" w:eastAsia="宋体" w:cs="宋体"/>
          <w:color w:val="auto"/>
          <w:sz w:val="24"/>
          <w:szCs w:val="24"/>
          <w:highlight w:val="none"/>
        </w:rPr>
        <w:t>19.投标文件的修改与撤回</w:t>
      </w:r>
      <w:bookmarkEnd w:id="104"/>
      <w:bookmarkEnd w:id="105"/>
      <w:bookmarkEnd w:id="106"/>
    </w:p>
    <w:p w14:paraId="1BC671D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19.1在投标截止时间前，投标人可以修改或撤回已在网上递交的投标文件，无须书面形式通知采购人。</w:t>
      </w:r>
    </w:p>
    <w:p w14:paraId="270B2C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19.2修改的投标文件应按照政采云平台规定进行编制和递交。</w:t>
      </w:r>
    </w:p>
    <w:p w14:paraId="72A72B0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19.3根据本须知规定，在投标截止时间至投标有效期内，投标人不得撤回其投标，否则其投标保证金将被没收。</w:t>
      </w:r>
    </w:p>
    <w:p w14:paraId="122B4A26">
      <w:pPr>
        <w:pStyle w:val="4"/>
        <w:spacing w:before="0"/>
        <w:jc w:val="center"/>
        <w:rPr>
          <w:rFonts w:hint="eastAsia" w:ascii="宋体" w:hAnsi="宋体" w:eastAsia="宋体" w:cs="宋体"/>
          <w:color w:val="auto"/>
          <w:szCs w:val="28"/>
          <w:highlight w:val="none"/>
        </w:rPr>
      </w:pPr>
      <w:bookmarkStart w:id="107" w:name="_Toc28466"/>
      <w:bookmarkStart w:id="108" w:name="_Toc10458"/>
      <w:bookmarkStart w:id="109" w:name="_Toc26170"/>
      <w:bookmarkStart w:id="110" w:name="_Toc7679"/>
      <w:r>
        <w:rPr>
          <w:rFonts w:hint="eastAsia" w:ascii="宋体" w:hAnsi="宋体" w:eastAsia="宋体" w:cs="宋体"/>
          <w:color w:val="auto"/>
          <w:szCs w:val="28"/>
          <w:highlight w:val="none"/>
        </w:rPr>
        <w:t>五、开标与评标</w:t>
      </w:r>
      <w:bookmarkEnd w:id="107"/>
      <w:bookmarkEnd w:id="108"/>
      <w:bookmarkEnd w:id="109"/>
      <w:bookmarkEnd w:id="110"/>
    </w:p>
    <w:p w14:paraId="21C83EBE">
      <w:pPr>
        <w:pStyle w:val="5"/>
        <w:spacing w:before="0"/>
        <w:ind w:left="420" w:hanging="420"/>
        <w:rPr>
          <w:rFonts w:hint="eastAsia" w:ascii="宋体" w:hAnsi="宋体" w:eastAsia="宋体" w:cs="宋体"/>
          <w:color w:val="auto"/>
          <w:sz w:val="24"/>
          <w:szCs w:val="24"/>
          <w:highlight w:val="none"/>
        </w:rPr>
      </w:pPr>
      <w:bookmarkStart w:id="111" w:name="_Toc10409"/>
      <w:bookmarkStart w:id="112" w:name="_Toc8012"/>
      <w:r>
        <w:rPr>
          <w:rFonts w:hint="eastAsia" w:ascii="宋体" w:hAnsi="宋体" w:eastAsia="宋体" w:cs="宋体"/>
          <w:color w:val="auto"/>
          <w:sz w:val="24"/>
          <w:szCs w:val="24"/>
          <w:highlight w:val="none"/>
        </w:rPr>
        <w:t>20.开标</w:t>
      </w:r>
      <w:bookmarkEnd w:id="111"/>
      <w:bookmarkEnd w:id="112"/>
    </w:p>
    <w:p w14:paraId="1A1BB59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20.1采购人在本章规定的投标截止时间（开标时间）和地点进行公开开标。</w:t>
      </w:r>
    </w:p>
    <w:p w14:paraId="341184DF">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主持人按下列程序进行开标：</w:t>
      </w:r>
    </w:p>
    <w:p w14:paraId="1F2328E5">
      <w:pPr>
        <w:spacing w:line="360" w:lineRule="auto"/>
        <w:ind w:firstLine="480" w:firstLineChars="200"/>
        <w:rPr>
          <w:rFonts w:hint="eastAsia" w:ascii="宋体" w:hAnsi="宋体" w:eastAsia="宋体" w:cs="宋体"/>
          <w:color w:val="auto"/>
          <w:sz w:val="24"/>
          <w:highlight w:val="none"/>
        </w:rPr>
      </w:pPr>
      <w:bookmarkStart w:id="113" w:name="_Toc55305428"/>
      <w:bookmarkStart w:id="114" w:name="_Toc19138"/>
      <w:r>
        <w:rPr>
          <w:rFonts w:hint="eastAsia" w:ascii="宋体" w:hAnsi="宋体" w:eastAsia="宋体" w:cs="宋体"/>
          <w:color w:val="auto"/>
          <w:sz w:val="24"/>
          <w:highlight w:val="none"/>
        </w:rPr>
        <w:t>(1)开标会由采购代理机构主持；</w:t>
      </w:r>
    </w:p>
    <w:p w14:paraId="22E4906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(2)开标：顺序按照政采云平台自动提取所有投标人的顺序当众开标。主持人宣布开启电子投标文件后，下达解密指令，投标人按照上述开标顺序，使用编制投标文件时的加密数字证书对投标文件进行解密；</w:t>
      </w:r>
    </w:p>
    <w:p w14:paraId="358507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(3)唱标：由唱标人宣读投标人在其电子投标文件中、投标价格和招标文件规定的需要宣布的其他内容。</w:t>
      </w:r>
    </w:p>
    <w:p w14:paraId="4B76ECA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(4)开标会议结束。</w:t>
      </w:r>
    </w:p>
    <w:p w14:paraId="2C623D1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投标人代表对开标过程和开标记录有异议，以及认为采购人、采购代理机构相关工作人员有需要回避的情形的，应在线提出询问或者回避申请。采购人、采购代理机构对投标人代表提出的询问或者回避申请应当及时处理并记录在案。</w:t>
      </w:r>
    </w:p>
    <w:p w14:paraId="4FCE03C1">
      <w:pPr>
        <w:pStyle w:val="5"/>
        <w:spacing w:before="0"/>
        <w:ind w:left="420" w:hanging="420"/>
        <w:rPr>
          <w:rFonts w:hint="eastAsia" w:ascii="宋体" w:hAnsi="宋体" w:eastAsia="宋体" w:cs="宋体"/>
          <w:color w:val="auto"/>
          <w:sz w:val="24"/>
          <w:szCs w:val="24"/>
          <w:highlight w:val="none"/>
        </w:rPr>
      </w:pPr>
      <w:bookmarkStart w:id="115" w:name="_Toc3944"/>
      <w:r>
        <w:rPr>
          <w:rFonts w:hint="eastAsia" w:ascii="宋体" w:hAnsi="宋体" w:eastAsia="宋体" w:cs="宋体"/>
          <w:color w:val="auto"/>
          <w:sz w:val="24"/>
          <w:szCs w:val="24"/>
          <w:highlight w:val="none"/>
        </w:rPr>
        <w:t>21.资格审查</w:t>
      </w:r>
      <w:bookmarkEnd w:id="113"/>
      <w:bookmarkEnd w:id="114"/>
      <w:bookmarkEnd w:id="115"/>
    </w:p>
    <w:p w14:paraId="2D72D4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公开招标采购项目开标结束后，采购人或者采购代理机构应当依法对投标人的资格进行审查。合格的投标人不足3家，不得评标。</w:t>
      </w:r>
    </w:p>
    <w:p w14:paraId="29543CAB">
      <w:pPr>
        <w:pStyle w:val="5"/>
        <w:spacing w:before="0"/>
        <w:ind w:left="420" w:hanging="420"/>
        <w:rPr>
          <w:rFonts w:hint="eastAsia" w:ascii="宋体" w:hAnsi="宋体" w:eastAsia="宋体" w:cs="宋体"/>
          <w:color w:val="auto"/>
          <w:sz w:val="24"/>
          <w:szCs w:val="24"/>
          <w:highlight w:val="none"/>
        </w:rPr>
      </w:pPr>
      <w:bookmarkStart w:id="116" w:name="_Toc32685"/>
      <w:bookmarkStart w:id="117" w:name="_Toc12603"/>
      <w:r>
        <w:rPr>
          <w:rFonts w:hint="eastAsia" w:ascii="宋体" w:hAnsi="宋体" w:eastAsia="宋体" w:cs="宋体"/>
          <w:color w:val="auto"/>
          <w:sz w:val="24"/>
          <w:szCs w:val="24"/>
          <w:highlight w:val="none"/>
        </w:rPr>
        <w:t>22.评标</w:t>
      </w:r>
      <w:bookmarkEnd w:id="116"/>
      <w:bookmarkEnd w:id="117"/>
    </w:p>
    <w:p w14:paraId="1FA8429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22.1评标由采购人依法组建的评标委员会负责。评标委员会由采购人代表和有关技术、经济等方面的专家组成，成员人数应当为5人或以上单数。其中，技术、经济等方面的专家不得少于成员总数的三分之二。评标委员会应当推选组长，但采购人代表不得担任组长。</w:t>
      </w:r>
    </w:p>
    <w:p w14:paraId="150F65D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采购人委派代表参加评标委员会的，要向采购代理机构出具授权函。</w:t>
      </w:r>
    </w:p>
    <w:p w14:paraId="0AC37BF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22.2评标原则</w:t>
      </w:r>
    </w:p>
    <w:p w14:paraId="0876B0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评标活动遵循公平、公正、科学和择优的原则。</w:t>
      </w:r>
    </w:p>
    <w:p w14:paraId="4C558A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22.3评标</w:t>
      </w:r>
    </w:p>
    <w:p w14:paraId="08BF9E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按“投标人须知前附表”规定的评标办法进行评标，评标委员会按照第七章“评标办法”规定的方法、评审因素、标准和程序对投标文件进行评审。第七章“评标办法”没有规定的方法、评审因素和标准，不作为评标依据。</w:t>
      </w:r>
    </w:p>
    <w:p w14:paraId="3A41F65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22.4</w:t>
      </w:r>
      <w:r>
        <w:rPr>
          <w:rFonts w:hint="eastAsia" w:ascii="宋体" w:hAnsi="宋体" w:eastAsia="宋体" w:cs="宋体"/>
          <w:color w:val="auto"/>
          <w:sz w:val="24"/>
          <w:highlight w:val="none"/>
          <w:lang w:val="zh-CN"/>
        </w:rPr>
        <w:t>对投标人的纪律要求：投标人不得相互串通投标或者与招标人串通投标，不得向招标人或者评标委员会成员行贿谋取中标，不得以他人名义投标或者以其他方式弄虚作假骗取中标；投标人不得以任何方式干扰、影响评标工作；</w:t>
      </w:r>
    </w:p>
    <w:p w14:paraId="0F936F0D">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下列情形之一的，视为投标人串通投标，其投标无效：</w:t>
      </w:r>
    </w:p>
    <w:p w14:paraId="2617EF3C">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不同的投标文件在同一台电脑</w:t>
      </w:r>
      <w:r>
        <w:rPr>
          <w:rFonts w:hint="eastAsia" w:ascii="宋体" w:hAnsi="宋体" w:eastAsia="宋体" w:cs="宋体"/>
          <w:color w:val="auto"/>
          <w:sz w:val="24"/>
          <w:highlight w:val="none"/>
        </w:rPr>
        <w:t>或IP地址</w:t>
      </w:r>
      <w:r>
        <w:rPr>
          <w:rFonts w:hint="eastAsia" w:ascii="宋体" w:hAnsi="宋体" w:eastAsia="宋体" w:cs="宋体"/>
          <w:color w:val="auto"/>
          <w:sz w:val="24"/>
          <w:highlight w:val="none"/>
          <w:lang w:val="zh-CN"/>
        </w:rPr>
        <w:t>编制，视为串通投标；</w:t>
      </w:r>
    </w:p>
    <w:p w14:paraId="7F419C65">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）不同投标人的投标文件由同一单位或者个人编制；</w:t>
      </w:r>
    </w:p>
    <w:p w14:paraId="1319D976">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）不同投标人委托同一单位或者个人办理投标事宜；</w:t>
      </w:r>
    </w:p>
    <w:p w14:paraId="61B846A0">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）不同投标人的投标文件载明的项目管理成员或者联系人员为同一人；</w:t>
      </w:r>
    </w:p>
    <w:p w14:paraId="757A6241">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）不同投标人的投标文件异常一致或者投标报价呈规律性差异；</w:t>
      </w:r>
    </w:p>
    <w:p w14:paraId="73185AA9">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）不同投标人的投标文件相互混装；</w:t>
      </w:r>
    </w:p>
    <w:p w14:paraId="085AF9C3">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）不同投标人的投标保证金从同一单位或者个人的账户转出；</w:t>
      </w:r>
    </w:p>
    <w:p w14:paraId="252C64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其它法律法规适用的串通投标情形。</w:t>
      </w:r>
    </w:p>
    <w:p w14:paraId="33226C26">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根据《中华人民共和国刑法》第二百二十三条【串通投标罪】规定，投标人相互串通投标报价，损害招标人或者其他投标人利益，情节严重的，处三年以下有期徒刑或者拘役，并处或者单处罚金。投标人与招标人串通投标，损害国家、集体、公民的合法利益的，依照前款的规定处罚。</w:t>
      </w:r>
    </w:p>
    <w:p w14:paraId="4A9BC971">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22.5</w:t>
      </w:r>
      <w:r>
        <w:rPr>
          <w:rFonts w:hint="eastAsia" w:ascii="宋体" w:hAnsi="宋体" w:eastAsia="宋体" w:cs="宋体"/>
          <w:color w:val="auto"/>
          <w:sz w:val="24"/>
          <w:highlight w:val="none"/>
          <w:lang w:val="zh-CN"/>
        </w:rPr>
        <w:t>投标人的行为涉及触犯【串通投标罪】相关规定的，将移送司法机关处理。</w:t>
      </w:r>
    </w:p>
    <w:p w14:paraId="558BD38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22.6</w:t>
      </w:r>
      <w:r>
        <w:rPr>
          <w:rFonts w:hint="eastAsia" w:ascii="宋体" w:hAnsi="宋体" w:eastAsia="宋体" w:cs="宋体"/>
          <w:color w:val="auto"/>
          <w:sz w:val="24"/>
          <w:highlight w:val="none"/>
          <w:lang w:val="zh-CN"/>
        </w:rPr>
        <w:t>评标过程的保密</w:t>
      </w:r>
    </w:p>
    <w:p w14:paraId="703E0BC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17578EB1">
      <w:pPr>
        <w:pStyle w:val="4"/>
        <w:spacing w:before="0"/>
        <w:jc w:val="center"/>
        <w:rPr>
          <w:rFonts w:hint="eastAsia" w:ascii="宋体" w:hAnsi="宋体" w:eastAsia="宋体" w:cs="宋体"/>
          <w:color w:val="auto"/>
          <w:szCs w:val="28"/>
          <w:highlight w:val="none"/>
        </w:rPr>
      </w:pPr>
      <w:bookmarkStart w:id="118" w:name="_Toc5879"/>
      <w:bookmarkStart w:id="119" w:name="_Toc31808"/>
      <w:bookmarkStart w:id="120" w:name="_Toc23420"/>
      <w:bookmarkStart w:id="121" w:name="_Toc2311"/>
      <w:r>
        <w:rPr>
          <w:rFonts w:hint="eastAsia" w:ascii="宋体" w:hAnsi="宋体" w:eastAsia="宋体" w:cs="宋体"/>
          <w:color w:val="auto"/>
          <w:szCs w:val="28"/>
          <w:highlight w:val="none"/>
        </w:rPr>
        <w:t>六、中标结果</w:t>
      </w:r>
      <w:bookmarkEnd w:id="118"/>
      <w:bookmarkEnd w:id="119"/>
      <w:bookmarkEnd w:id="120"/>
      <w:bookmarkEnd w:id="121"/>
    </w:p>
    <w:p w14:paraId="1509E044">
      <w:pPr>
        <w:pStyle w:val="5"/>
        <w:spacing w:before="0"/>
        <w:ind w:left="420" w:hanging="420"/>
        <w:rPr>
          <w:rFonts w:hint="eastAsia" w:ascii="宋体" w:hAnsi="宋体" w:eastAsia="宋体" w:cs="宋体"/>
          <w:color w:val="auto"/>
          <w:sz w:val="24"/>
          <w:szCs w:val="24"/>
          <w:highlight w:val="none"/>
        </w:rPr>
      </w:pPr>
      <w:bookmarkStart w:id="122" w:name="_Toc7167"/>
      <w:bookmarkStart w:id="123" w:name="_Toc12497"/>
      <w:r>
        <w:rPr>
          <w:rFonts w:hint="eastAsia" w:ascii="宋体" w:hAnsi="宋体" w:eastAsia="宋体" w:cs="宋体"/>
          <w:color w:val="auto"/>
          <w:sz w:val="24"/>
          <w:szCs w:val="24"/>
          <w:highlight w:val="none"/>
        </w:rPr>
        <w:t>23.中标人的确定</w:t>
      </w:r>
      <w:bookmarkEnd w:id="122"/>
      <w:bookmarkEnd w:id="123"/>
    </w:p>
    <w:p w14:paraId="36ED3A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23.1采购代理机构在评标结束后2个工作日内将评标报告送采购人。</w:t>
      </w:r>
    </w:p>
    <w:p w14:paraId="45EA9B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23.2采购人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14:paraId="544BAF1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23.3采购人在收到评标报告5个工作日内未按评标报告推荐的中标候选人顺序确定中标人，又不能说明合法理由的，视同按评标报告推荐的顺序确定排名第一的中标候选人为中标人。</w:t>
      </w:r>
    </w:p>
    <w:p w14:paraId="76891657">
      <w:pPr>
        <w:pStyle w:val="5"/>
        <w:spacing w:before="0"/>
        <w:ind w:left="420" w:hanging="420"/>
        <w:rPr>
          <w:rFonts w:hint="eastAsia" w:ascii="宋体" w:hAnsi="宋体" w:eastAsia="宋体" w:cs="宋体"/>
          <w:color w:val="auto"/>
          <w:sz w:val="24"/>
          <w:szCs w:val="24"/>
          <w:highlight w:val="none"/>
        </w:rPr>
      </w:pPr>
      <w:bookmarkStart w:id="124" w:name="_Toc7408"/>
      <w:bookmarkStart w:id="125" w:name="_Toc21795"/>
      <w:r>
        <w:rPr>
          <w:rFonts w:hint="eastAsia" w:ascii="宋体" w:hAnsi="宋体" w:eastAsia="宋体" w:cs="宋体"/>
          <w:color w:val="auto"/>
          <w:sz w:val="24"/>
          <w:szCs w:val="24"/>
          <w:highlight w:val="none"/>
        </w:rPr>
        <w:t>24.中标结果公告及中标通知书</w:t>
      </w:r>
      <w:bookmarkEnd w:id="124"/>
      <w:bookmarkEnd w:id="125"/>
    </w:p>
    <w:p w14:paraId="042AF3A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24.1采购代理机构自中标人确定之日起2个工作日内，在省级以上财政部门指定的媒体上公告中标结果，招标文件应当随中标结果同时公告。中标公告期限为1个工作日。</w:t>
      </w:r>
    </w:p>
    <w:p w14:paraId="7ED224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24.2在公告中标结果的同时，采购代理机构应当向中标人发出中标通知书。</w:t>
      </w:r>
    </w:p>
    <w:p w14:paraId="5EDAFC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24.3中标通知书发出后，采购人不得违法改变中标结果，中标人无正当理由不得放弃中标。</w:t>
      </w:r>
    </w:p>
    <w:p w14:paraId="1217A809">
      <w:pPr>
        <w:pStyle w:val="5"/>
        <w:spacing w:before="0"/>
        <w:ind w:left="420" w:hanging="420"/>
        <w:rPr>
          <w:rFonts w:hint="eastAsia" w:ascii="宋体" w:hAnsi="宋体" w:eastAsia="宋体" w:cs="宋体"/>
          <w:color w:val="auto"/>
          <w:sz w:val="24"/>
          <w:szCs w:val="24"/>
          <w:highlight w:val="none"/>
        </w:rPr>
      </w:pPr>
      <w:bookmarkStart w:id="126" w:name="_Toc20530"/>
      <w:bookmarkStart w:id="127" w:name="_Toc24847"/>
      <w:r>
        <w:rPr>
          <w:rFonts w:hint="eastAsia" w:ascii="宋体" w:hAnsi="宋体" w:eastAsia="宋体" w:cs="宋体"/>
          <w:color w:val="auto"/>
          <w:sz w:val="24"/>
          <w:szCs w:val="24"/>
          <w:highlight w:val="none"/>
        </w:rPr>
        <w:t>25.签订合同</w:t>
      </w:r>
      <w:bookmarkEnd w:id="126"/>
      <w:bookmarkEnd w:id="127"/>
    </w:p>
    <w:p w14:paraId="3096099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25.1采购人应当自中标通知书发出之日起30日内，按照招标文件和中标人投标文件的规定，与中标人签订书面合同。所签订的合同不得对招标文件确定的事项和中标人投标文件作实质性修改。</w:t>
      </w:r>
    </w:p>
    <w:p w14:paraId="06FA685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采购人不得向中标人提出任何不合理的要求作为签订合同的条件。</w:t>
      </w:r>
    </w:p>
    <w:p w14:paraId="4F81382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25.2采购人与中标人应当根据合同的约定依法履行合同义务。政府采购合同的履行、违约责任和解决争议的方法等适用《中华人民共和国民法典》。</w:t>
      </w:r>
    </w:p>
    <w:p w14:paraId="2B532D1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25.3根据《政府采购法实施条例》第四十九条规定，中标人无不正当理由拒与采购人签订政府采购合同的，按照第七十二条进行处罚。</w:t>
      </w:r>
    </w:p>
    <w:p w14:paraId="30F6BDA7">
      <w:pPr>
        <w:pStyle w:val="5"/>
        <w:spacing w:before="0"/>
        <w:ind w:left="420" w:hanging="420"/>
        <w:rPr>
          <w:rFonts w:hint="eastAsia" w:ascii="宋体" w:hAnsi="宋体" w:eastAsia="宋体" w:cs="宋体"/>
          <w:color w:val="auto"/>
          <w:sz w:val="24"/>
          <w:szCs w:val="24"/>
          <w:highlight w:val="none"/>
        </w:rPr>
      </w:pPr>
      <w:bookmarkStart w:id="128" w:name="_Toc26114"/>
      <w:bookmarkStart w:id="129" w:name="_Toc18793"/>
      <w:r>
        <w:rPr>
          <w:rFonts w:hint="eastAsia" w:ascii="宋体" w:hAnsi="宋体" w:eastAsia="宋体" w:cs="宋体"/>
          <w:color w:val="auto"/>
          <w:sz w:val="24"/>
          <w:szCs w:val="24"/>
          <w:highlight w:val="none"/>
        </w:rPr>
        <w:t>26.履约保证金</w:t>
      </w:r>
      <w:bookmarkEnd w:id="128"/>
      <w:bookmarkEnd w:id="129"/>
    </w:p>
    <w:p w14:paraId="04D67CC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26.1在签订合同前，中标人应按投标人须知前附表规定的形式、金额向采购人提交履约保证金。</w:t>
      </w:r>
    </w:p>
    <w:p w14:paraId="337D67E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26.2中标人不能按本章要求提交履约保证金的，视为放弃中标，其投标保证金不予退还，给采购人造成的损失超过投标保证金数额的，中标人还应当对超过部分予以赔偿。</w:t>
      </w:r>
    </w:p>
    <w:p w14:paraId="6D072C87">
      <w:pPr>
        <w:pStyle w:val="4"/>
        <w:spacing w:before="0"/>
        <w:jc w:val="center"/>
        <w:rPr>
          <w:rFonts w:hint="eastAsia" w:ascii="宋体" w:hAnsi="宋体" w:eastAsia="宋体" w:cs="宋体"/>
          <w:color w:val="auto"/>
          <w:szCs w:val="28"/>
          <w:highlight w:val="none"/>
        </w:rPr>
      </w:pPr>
      <w:bookmarkStart w:id="130" w:name="_Toc18663"/>
      <w:bookmarkStart w:id="131" w:name="_Toc29291"/>
      <w:bookmarkStart w:id="132" w:name="_Toc18345"/>
      <w:bookmarkStart w:id="133" w:name="_Toc9371"/>
      <w:r>
        <w:rPr>
          <w:rFonts w:hint="eastAsia" w:ascii="宋体" w:hAnsi="宋体" w:eastAsia="宋体" w:cs="宋体"/>
          <w:color w:val="auto"/>
          <w:szCs w:val="28"/>
          <w:highlight w:val="none"/>
        </w:rPr>
        <w:t>七、其他事项</w:t>
      </w:r>
      <w:bookmarkEnd w:id="130"/>
      <w:bookmarkEnd w:id="131"/>
      <w:bookmarkEnd w:id="132"/>
      <w:bookmarkEnd w:id="133"/>
    </w:p>
    <w:p w14:paraId="474438AB">
      <w:pPr>
        <w:pStyle w:val="5"/>
        <w:spacing w:before="0"/>
        <w:ind w:left="420" w:hanging="420"/>
        <w:rPr>
          <w:rFonts w:hint="eastAsia" w:ascii="宋体" w:hAnsi="宋体" w:eastAsia="宋体" w:cs="宋体"/>
          <w:color w:val="auto"/>
          <w:sz w:val="24"/>
          <w:szCs w:val="24"/>
          <w:highlight w:val="none"/>
        </w:rPr>
      </w:pPr>
      <w:bookmarkStart w:id="134" w:name="_Toc3115"/>
      <w:bookmarkStart w:id="135" w:name="_Toc26291"/>
      <w:r>
        <w:rPr>
          <w:rFonts w:hint="eastAsia" w:ascii="宋体" w:hAnsi="宋体" w:eastAsia="宋体" w:cs="宋体"/>
          <w:color w:val="auto"/>
          <w:sz w:val="24"/>
          <w:szCs w:val="24"/>
          <w:highlight w:val="none"/>
        </w:rPr>
        <w:t>27.</w:t>
      </w:r>
      <w:bookmarkEnd w:id="134"/>
      <w:r>
        <w:rPr>
          <w:rFonts w:hint="eastAsia" w:ascii="宋体" w:hAnsi="宋体" w:eastAsia="宋体" w:cs="宋体"/>
          <w:color w:val="auto"/>
          <w:sz w:val="24"/>
          <w:szCs w:val="24"/>
          <w:highlight w:val="none"/>
        </w:rPr>
        <w:t>其他费用</w:t>
      </w:r>
      <w:bookmarkEnd w:id="135"/>
    </w:p>
    <w:p w14:paraId="1F3EDB4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27.1其他费用：见“</w:t>
      </w:r>
      <w:r>
        <w:rPr>
          <w:rFonts w:hint="eastAsia" w:ascii="宋体" w:hAnsi="宋体" w:eastAsia="宋体" w:cs="宋体"/>
          <w:b/>
          <w:color w:val="auto"/>
          <w:sz w:val="24"/>
          <w:highlight w:val="none"/>
        </w:rPr>
        <w:t>投标人须知前附表</w:t>
      </w:r>
      <w:r>
        <w:rPr>
          <w:rFonts w:hint="eastAsia" w:ascii="宋体" w:hAnsi="宋体" w:eastAsia="宋体" w:cs="宋体"/>
          <w:color w:val="auto"/>
          <w:sz w:val="24"/>
          <w:highlight w:val="none"/>
        </w:rPr>
        <w:t>”。</w:t>
      </w:r>
    </w:p>
    <w:p w14:paraId="496E0C01">
      <w:pPr>
        <w:pStyle w:val="5"/>
        <w:spacing w:before="0"/>
        <w:ind w:left="420" w:hanging="420"/>
        <w:rPr>
          <w:rFonts w:hint="eastAsia" w:ascii="宋体" w:hAnsi="宋体" w:eastAsia="宋体" w:cs="宋体"/>
          <w:color w:val="auto"/>
          <w:sz w:val="24"/>
          <w:szCs w:val="24"/>
          <w:highlight w:val="none"/>
        </w:rPr>
      </w:pPr>
      <w:bookmarkStart w:id="136" w:name="_Toc3713"/>
      <w:bookmarkStart w:id="137" w:name="_Toc15652"/>
      <w:r>
        <w:rPr>
          <w:rFonts w:hint="eastAsia" w:ascii="宋体" w:hAnsi="宋体" w:eastAsia="宋体" w:cs="宋体"/>
          <w:color w:val="auto"/>
          <w:sz w:val="24"/>
          <w:szCs w:val="24"/>
          <w:highlight w:val="none"/>
        </w:rPr>
        <w:t>28.质疑</w:t>
      </w:r>
      <w:bookmarkEnd w:id="136"/>
      <w:bookmarkEnd w:id="137"/>
    </w:p>
    <w:p w14:paraId="1DCF4F7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28.1投标人认为招标文件、招标过程、中标或者成交结果使自己的权益受到损害的，可以在知道或者应知其权益受到损害之日起7个工作日内，以书面形式向采购人、采购代理机构提出质疑。提出质疑的投标人（以下简称质疑投标人）应当是参与所质疑项目采购活动的投标人。潜在投标人已依法获取其可质疑的招标文件的，可以对该文件提出质疑。对招标文件提出质疑的，应当在获取招标文件或者招标文件公告期限届满之日起7个工作日内提出。</w:t>
      </w:r>
    </w:p>
    <w:p w14:paraId="35285E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以委托代理人进行质疑和投诉。其授权委托书应当载明代理人的姓名或者名称、代理事项、具体权限、期限和相关事项。投标人为自然人的，应当由本人签字；投标人为法人或者其他组织的，应当由法定代表人、主要负责人签字或者盖章，并加盖公章。</w:t>
      </w:r>
    </w:p>
    <w:p w14:paraId="68C00449">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受理质疑部门：采购人或采购代理机构</w:t>
      </w:r>
    </w:p>
    <w:p w14:paraId="2971662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28.2投标人提出质疑应当提交质疑函和必要的证明材料。质疑函应当包括下列内容：</w:t>
      </w:r>
    </w:p>
    <w:p w14:paraId="7E687C6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（一）投标人的姓名或者名称、地址、邮编、联系人及联系电话；</w:t>
      </w:r>
    </w:p>
    <w:p w14:paraId="097A130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（二）质疑项目的名称、编号；</w:t>
      </w:r>
    </w:p>
    <w:p w14:paraId="2B39AF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（三）具体、明确的质疑事项和与质疑事项相关的请求；</w:t>
      </w:r>
    </w:p>
    <w:p w14:paraId="5EFDF4B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FA3077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（五）必要的法律依据；</w:t>
      </w:r>
    </w:p>
    <w:p w14:paraId="3C63713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（六）提出质疑的日期。</w:t>
      </w:r>
    </w:p>
    <w:p w14:paraId="4DFC5D1F">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投标人为自然人的，应当由本人签字；投标人为法人或者其他组织的，应当由法定代表人、主要负责人，或者其授权代表签字或者盖章，并加盖公章。</w:t>
      </w:r>
    </w:p>
    <w:p w14:paraId="658D42EE">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28.3采购人、采购代理机构不得拒收质疑投标人在法定质疑期内发出的质疑函，应当在收到质疑函后7个工作日内作出答复，并以书面形式通知质疑投标人和其他有关投标人</w:t>
      </w:r>
      <w:r>
        <w:rPr>
          <w:rFonts w:hint="eastAsia" w:ascii="宋体" w:hAnsi="宋体" w:eastAsia="宋体" w:cs="宋体"/>
          <w:bCs/>
          <w:color w:val="auto"/>
          <w:sz w:val="24"/>
          <w:highlight w:val="none"/>
        </w:rPr>
        <w:t>。</w:t>
      </w:r>
    </w:p>
    <w:p w14:paraId="774D880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28.4投标人对评审过程、中标或者成交结果提出质疑的，采购人、采购代理机构可以组织原评标委员会、竞争性谈判小组、询价小组或者竞争性评标委员会协助答复质疑。</w:t>
      </w:r>
    </w:p>
    <w:p w14:paraId="7468D0D4">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质疑答复应当包括下列内容：</w:t>
      </w:r>
    </w:p>
    <w:p w14:paraId="7420561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（一）质疑投标人的姓名或者名称；</w:t>
      </w:r>
    </w:p>
    <w:p w14:paraId="1794958B">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（二）收到质疑函的日期、质疑项目名称及编号；</w:t>
      </w:r>
    </w:p>
    <w:p w14:paraId="3A39A47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（三）质疑事项、质疑答复的具体内容、事实依据和法律依据；</w:t>
      </w:r>
    </w:p>
    <w:p w14:paraId="5067B1E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（四）告知质疑投标人依法投诉的权利；</w:t>
      </w:r>
    </w:p>
    <w:p w14:paraId="35203BF0">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（五）质疑答复人名称；</w:t>
      </w:r>
    </w:p>
    <w:p w14:paraId="30A8444C">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（六）答复质疑的日期。</w:t>
      </w:r>
    </w:p>
    <w:p w14:paraId="4250F6D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质疑答复的内容不得涉及商业秘密。</w:t>
      </w:r>
    </w:p>
    <w:p w14:paraId="371A912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具体规定按中华人民共和国财政部令第94号--《政府采购质疑和投诉办法》办法处理。</w:t>
      </w:r>
    </w:p>
    <w:p w14:paraId="113ECF4C">
      <w:pPr>
        <w:pStyle w:val="5"/>
        <w:spacing w:before="0"/>
        <w:ind w:left="420" w:hanging="420"/>
        <w:rPr>
          <w:rFonts w:hint="eastAsia" w:ascii="宋体" w:hAnsi="宋体" w:eastAsia="宋体" w:cs="宋体"/>
          <w:color w:val="auto"/>
          <w:sz w:val="24"/>
          <w:szCs w:val="24"/>
          <w:highlight w:val="none"/>
        </w:rPr>
      </w:pPr>
      <w:bookmarkStart w:id="138" w:name="_Toc13085"/>
      <w:bookmarkStart w:id="139" w:name="_Toc23640"/>
      <w:r>
        <w:rPr>
          <w:rFonts w:hint="eastAsia" w:ascii="宋体" w:hAnsi="宋体" w:eastAsia="宋体" w:cs="宋体"/>
          <w:color w:val="auto"/>
          <w:sz w:val="24"/>
          <w:szCs w:val="24"/>
          <w:highlight w:val="none"/>
        </w:rPr>
        <w:t>29.投诉</w:t>
      </w:r>
      <w:bookmarkEnd w:id="138"/>
      <w:bookmarkEnd w:id="139"/>
    </w:p>
    <w:p w14:paraId="31A3597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质疑投标人对采购人、采购代理机构的答复不满意，或者采购人、采购代理机构未在规定时间内作出答复的，可以在答复期满后15个工作日内向采购监管部门提出投诉。</w:t>
      </w:r>
    </w:p>
    <w:p w14:paraId="62AB45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5F88C1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（一）投诉人和被投诉人的姓名或者名称、通讯地址、邮编、联系人及联系电话；</w:t>
      </w:r>
    </w:p>
    <w:p w14:paraId="1C7D17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（二）质疑和质疑答复情况说明及相关证明材料；</w:t>
      </w:r>
    </w:p>
    <w:p w14:paraId="05FF1B4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（三）具体、明确的投诉事项和与投诉事项相关的投诉请求；</w:t>
      </w:r>
    </w:p>
    <w:p w14:paraId="26C7473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603040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（五）法律依据；</w:t>
      </w:r>
    </w:p>
    <w:p w14:paraId="7CBF847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（六）提起投诉的日期。</w:t>
      </w:r>
    </w:p>
    <w:p w14:paraId="5A48F0D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投诉人为自然人的，应当由本人签字；投诉人为法人或者其他组织的，应当由法定代表人、主要负责人，或者其授权代表签字或者盖章，并加盖公章。</w:t>
      </w:r>
    </w:p>
    <w:p w14:paraId="3B4B4EE1">
      <w:pPr>
        <w:pStyle w:val="5"/>
        <w:spacing w:before="0"/>
        <w:ind w:left="420" w:hanging="420"/>
        <w:rPr>
          <w:rFonts w:hint="eastAsia" w:ascii="宋体" w:hAnsi="宋体" w:eastAsia="宋体" w:cs="宋体"/>
          <w:color w:val="auto"/>
          <w:sz w:val="24"/>
          <w:szCs w:val="24"/>
          <w:highlight w:val="none"/>
        </w:rPr>
      </w:pPr>
      <w:bookmarkStart w:id="140" w:name="_Toc8084"/>
      <w:bookmarkStart w:id="141" w:name="_Toc18975"/>
      <w:r>
        <w:rPr>
          <w:rFonts w:hint="eastAsia" w:ascii="宋体" w:hAnsi="宋体" w:eastAsia="宋体" w:cs="宋体"/>
          <w:color w:val="auto"/>
          <w:sz w:val="24"/>
          <w:szCs w:val="24"/>
          <w:highlight w:val="none"/>
        </w:rPr>
        <w:t>30.解释权</w:t>
      </w:r>
      <w:bookmarkEnd w:id="140"/>
      <w:bookmarkEnd w:id="141"/>
    </w:p>
    <w:p w14:paraId="531DD61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本招标文件是根据《中华人民共和国政府采购法》及相关法律法规编制，解释权属采购人及采购代理机构。</w:t>
      </w:r>
    </w:p>
    <w:p w14:paraId="3AAC2892">
      <w:pPr>
        <w:pStyle w:val="5"/>
        <w:spacing w:before="0"/>
        <w:ind w:left="420" w:hanging="420"/>
        <w:rPr>
          <w:rFonts w:hint="eastAsia" w:ascii="宋体" w:hAnsi="宋体" w:eastAsia="宋体" w:cs="宋体"/>
          <w:color w:val="auto"/>
          <w:sz w:val="24"/>
          <w:szCs w:val="24"/>
          <w:highlight w:val="none"/>
        </w:rPr>
      </w:pPr>
      <w:bookmarkStart w:id="142" w:name="_Toc6659"/>
      <w:bookmarkStart w:id="143" w:name="_Toc8073"/>
      <w:r>
        <w:rPr>
          <w:rFonts w:hint="eastAsia" w:ascii="宋体" w:hAnsi="宋体" w:eastAsia="宋体" w:cs="宋体"/>
          <w:color w:val="auto"/>
          <w:sz w:val="24"/>
          <w:szCs w:val="24"/>
          <w:highlight w:val="none"/>
        </w:rPr>
        <w:t>31.需要补充的其他内容</w:t>
      </w:r>
      <w:bookmarkEnd w:id="142"/>
      <w:bookmarkEnd w:id="143"/>
    </w:p>
    <w:p w14:paraId="799D438D">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51D9247">
      <w:pPr>
        <w:widowControl/>
        <w:spacing w:line="360" w:lineRule="auto"/>
        <w:jc w:val="center"/>
        <w:outlineLvl w:val="0"/>
        <w:rPr>
          <w:rFonts w:hint="eastAsia" w:ascii="宋体" w:hAnsi="宋体" w:eastAsia="宋体" w:cs="宋体"/>
          <w:bCs/>
          <w:color w:val="auto"/>
          <w:sz w:val="36"/>
          <w:highlight w:val="none"/>
        </w:rPr>
      </w:pPr>
      <w:bookmarkStart w:id="144" w:name="_Toc3304"/>
      <w:bookmarkStart w:id="145" w:name="_Toc14603"/>
      <w:bookmarkStart w:id="146" w:name="_Toc20908"/>
      <w:bookmarkStart w:id="147" w:name="_Toc30763"/>
      <w:bookmarkStart w:id="148" w:name="_Toc10009"/>
      <w:bookmarkStart w:id="149" w:name="_Toc10816"/>
      <w:bookmarkStart w:id="150" w:name="_Toc2294"/>
      <w:bookmarkStart w:id="151" w:name="_Toc21598"/>
      <w:bookmarkStart w:id="152" w:name="_Toc29316"/>
      <w:r>
        <w:rPr>
          <w:rFonts w:hint="eastAsia" w:ascii="宋体" w:hAnsi="宋体" w:eastAsia="宋体" w:cs="宋体"/>
          <w:b/>
          <w:bCs/>
          <w:color w:val="auto"/>
          <w:kern w:val="44"/>
          <w:sz w:val="36"/>
          <w:szCs w:val="20"/>
          <w:highlight w:val="none"/>
        </w:rPr>
        <w:t xml:space="preserve">第三章  </w:t>
      </w:r>
      <w:bookmarkEnd w:id="144"/>
      <w:bookmarkEnd w:id="145"/>
      <w:bookmarkEnd w:id="146"/>
      <w:bookmarkEnd w:id="147"/>
      <w:bookmarkEnd w:id="148"/>
      <w:bookmarkEnd w:id="149"/>
      <w:bookmarkEnd w:id="150"/>
      <w:bookmarkEnd w:id="151"/>
      <w:r>
        <w:rPr>
          <w:rFonts w:hint="eastAsia" w:ascii="宋体" w:hAnsi="宋体" w:eastAsia="宋体" w:cs="宋体"/>
          <w:b/>
          <w:bCs/>
          <w:color w:val="auto"/>
          <w:kern w:val="44"/>
          <w:sz w:val="36"/>
          <w:szCs w:val="20"/>
          <w:highlight w:val="none"/>
        </w:rPr>
        <w:t>合同书样式及主要条款</w:t>
      </w:r>
      <w:bookmarkEnd w:id="152"/>
    </w:p>
    <w:p w14:paraId="1A818B02">
      <w:pPr>
        <w:jc w:val="righ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            】</w:t>
      </w:r>
    </w:p>
    <w:p w14:paraId="76BE7DB3">
      <w:pPr>
        <w:pStyle w:val="19"/>
        <w:rPr>
          <w:rFonts w:hint="eastAsia" w:ascii="宋体" w:hAnsi="宋体" w:eastAsia="宋体" w:cs="宋体"/>
          <w:color w:val="auto"/>
          <w:sz w:val="21"/>
          <w:szCs w:val="21"/>
          <w:highlight w:val="none"/>
        </w:rPr>
      </w:pPr>
    </w:p>
    <w:p w14:paraId="04E94227">
      <w:pPr>
        <w:rPr>
          <w:rFonts w:hint="eastAsia" w:ascii="宋体" w:hAnsi="宋体" w:eastAsia="宋体" w:cs="宋体"/>
          <w:color w:val="auto"/>
          <w:szCs w:val="21"/>
          <w:highlight w:val="none"/>
        </w:rPr>
      </w:pPr>
    </w:p>
    <w:p w14:paraId="039B8B0B">
      <w:pPr>
        <w:jc w:val="center"/>
        <w:rPr>
          <w:rFonts w:hint="eastAsia" w:ascii="宋体" w:hAnsi="宋体" w:eastAsia="宋体" w:cs="宋体"/>
          <w:color w:val="auto"/>
          <w:sz w:val="32"/>
          <w:szCs w:val="32"/>
          <w:highlight w:val="none"/>
        </w:rPr>
      </w:pPr>
      <w:bookmarkStart w:id="153" w:name="_Toc17166"/>
      <w:r>
        <w:rPr>
          <w:rFonts w:hint="eastAsia" w:ascii="宋体" w:hAnsi="宋体" w:eastAsia="宋体" w:cs="宋体"/>
          <w:color w:val="auto"/>
          <w:sz w:val="32"/>
          <w:szCs w:val="32"/>
          <w:highlight w:val="none"/>
        </w:rPr>
        <w:t>合同协议书</w:t>
      </w:r>
      <w:bookmarkEnd w:id="153"/>
    </w:p>
    <w:p w14:paraId="0131D34E">
      <w:pPr>
        <w:rPr>
          <w:rFonts w:hint="eastAsia" w:ascii="宋体" w:hAnsi="宋体" w:eastAsia="宋体" w:cs="宋体"/>
          <w:color w:val="auto"/>
          <w:szCs w:val="21"/>
          <w:highlight w:val="none"/>
        </w:rPr>
      </w:pPr>
    </w:p>
    <w:p w14:paraId="6F84148D">
      <w:pPr>
        <w:rPr>
          <w:rFonts w:hint="eastAsia" w:ascii="宋体" w:hAnsi="宋体" w:eastAsia="宋体" w:cs="宋体"/>
          <w:color w:val="auto"/>
          <w:szCs w:val="21"/>
          <w:highlight w:val="none"/>
        </w:rPr>
      </w:pPr>
    </w:p>
    <w:p w14:paraId="39154E6D">
      <w:pPr>
        <w:ind w:firstLine="1785" w:firstLineChars="850"/>
        <w:rPr>
          <w:rFonts w:hint="eastAsia" w:ascii="宋体" w:hAnsi="宋体" w:eastAsia="宋体" w:cs="宋体"/>
          <w:color w:val="auto"/>
          <w:szCs w:val="21"/>
          <w:highlight w:val="none"/>
        </w:rPr>
      </w:pPr>
    </w:p>
    <w:p w14:paraId="016E6B84">
      <w:pPr>
        <w:rPr>
          <w:rFonts w:hint="eastAsia" w:ascii="宋体" w:hAnsi="宋体" w:eastAsia="宋体" w:cs="宋体"/>
          <w:color w:val="auto"/>
          <w:szCs w:val="21"/>
          <w:highlight w:val="none"/>
        </w:rPr>
      </w:pPr>
    </w:p>
    <w:p w14:paraId="041F581C">
      <w:pPr>
        <w:rPr>
          <w:rFonts w:hint="eastAsia" w:ascii="宋体" w:hAnsi="宋体" w:eastAsia="宋体" w:cs="宋体"/>
          <w:color w:val="auto"/>
          <w:szCs w:val="21"/>
          <w:highlight w:val="none"/>
        </w:rPr>
      </w:pPr>
    </w:p>
    <w:p w14:paraId="4183E3A5">
      <w:pPr>
        <w:rPr>
          <w:rFonts w:hint="eastAsia" w:ascii="宋体" w:hAnsi="宋体" w:eastAsia="宋体" w:cs="宋体"/>
          <w:color w:val="auto"/>
          <w:szCs w:val="21"/>
          <w:highlight w:val="none"/>
        </w:rPr>
      </w:pPr>
    </w:p>
    <w:p w14:paraId="7BC0FC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rPr>
        <w:t xml:space="preserve">                                            </w:t>
      </w:r>
    </w:p>
    <w:p w14:paraId="359547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3AEA4DB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标段号及名称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14:paraId="49B38DD0">
      <w:pPr>
        <w:spacing w:line="360" w:lineRule="auto"/>
        <w:ind w:firstLine="480" w:firstLineChars="200"/>
        <w:rPr>
          <w:rFonts w:hint="eastAsia" w:ascii="宋体" w:hAnsi="宋体" w:eastAsia="宋体" w:cs="宋体"/>
          <w:color w:val="auto"/>
          <w:sz w:val="24"/>
          <w:highlight w:val="none"/>
        </w:rPr>
      </w:pPr>
    </w:p>
    <w:p w14:paraId="085450D6">
      <w:pPr>
        <w:spacing w:line="360" w:lineRule="auto"/>
        <w:ind w:firstLine="480" w:firstLineChars="200"/>
        <w:rPr>
          <w:rFonts w:hint="eastAsia" w:ascii="宋体" w:hAnsi="宋体" w:eastAsia="宋体" w:cs="宋体"/>
          <w:color w:val="auto"/>
          <w:sz w:val="24"/>
          <w:highlight w:val="none"/>
        </w:rPr>
      </w:pPr>
    </w:p>
    <w:p w14:paraId="25ADE747">
      <w:pPr>
        <w:spacing w:line="360" w:lineRule="auto"/>
        <w:ind w:firstLine="480" w:firstLineChars="200"/>
        <w:rPr>
          <w:rFonts w:hint="eastAsia" w:ascii="宋体" w:hAnsi="宋体" w:eastAsia="宋体" w:cs="宋体"/>
          <w:color w:val="auto"/>
          <w:sz w:val="24"/>
          <w:highlight w:val="none"/>
        </w:rPr>
      </w:pPr>
    </w:p>
    <w:p w14:paraId="1B8E57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采购人（甲方）：</w:t>
      </w:r>
      <w:r>
        <w:rPr>
          <w:rFonts w:hint="eastAsia" w:ascii="宋体" w:hAnsi="宋体" w:eastAsia="宋体" w:cs="宋体"/>
          <w:color w:val="auto"/>
          <w:sz w:val="24"/>
          <w:highlight w:val="none"/>
          <w:u w:val="single"/>
        </w:rPr>
        <w:t xml:space="preserve">                                 </w:t>
      </w:r>
    </w:p>
    <w:p w14:paraId="4C58AF7D">
      <w:pPr>
        <w:spacing w:line="360" w:lineRule="auto"/>
        <w:ind w:firstLine="480" w:firstLineChars="200"/>
        <w:rPr>
          <w:rFonts w:hint="eastAsia" w:ascii="宋体" w:hAnsi="宋体" w:eastAsia="宋体" w:cs="宋体"/>
          <w:bCs/>
          <w:color w:val="auto"/>
          <w:sz w:val="36"/>
          <w:highlight w:val="none"/>
        </w:rPr>
      </w:pPr>
      <w:r>
        <w:rPr>
          <w:rFonts w:hint="eastAsia" w:ascii="宋体" w:hAnsi="宋体" w:eastAsia="宋体" w:cs="宋体"/>
          <w:color w:val="auto"/>
          <w:sz w:val="24"/>
          <w:highlight w:val="none"/>
        </w:rPr>
        <w:t>中标人（乙方）：</w:t>
      </w:r>
      <w:r>
        <w:rPr>
          <w:rFonts w:hint="eastAsia" w:ascii="宋体" w:hAnsi="宋体" w:eastAsia="宋体" w:cs="宋体"/>
          <w:color w:val="auto"/>
          <w:sz w:val="24"/>
          <w:highlight w:val="none"/>
          <w:u w:val="single"/>
        </w:rPr>
        <w:t xml:space="preserve">                             </w:t>
      </w:r>
    </w:p>
    <w:p w14:paraId="503D0229">
      <w:pP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br w:type="page"/>
      </w:r>
    </w:p>
    <w:p w14:paraId="1806E5A1">
      <w:pPr>
        <w:pStyle w:val="2"/>
        <w:spacing w:line="360" w:lineRule="auto"/>
        <w:ind w:firstLine="530" w:firstLineChars="200"/>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（以下合同内容仅供参考，具体合同内容以签订合同时甲乙双方商定为准）</w:t>
      </w:r>
    </w:p>
    <w:p w14:paraId="5BA403B0">
      <w:pPr>
        <w:pStyle w:val="2"/>
        <w:spacing w:line="360" w:lineRule="auto"/>
        <w:ind w:firstLine="45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根据《中华人民共和国政府采购法》、《中华人民共和国民法典》等法律、法规规定，按照招标文件（采购文件）规定条款和中标（成交）</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承诺，甲乙双方签订本合同。</w:t>
      </w:r>
    </w:p>
    <w:p w14:paraId="3E2E6B9A">
      <w:pPr>
        <w:pStyle w:val="2"/>
        <w:numPr>
          <w:ilvl w:val="0"/>
          <w:numId w:val="0"/>
        </w:numPr>
        <w:spacing w:line="360" w:lineRule="auto"/>
        <w:outlineLvl w:val="9"/>
        <w:rPr>
          <w:rFonts w:hint="eastAsia" w:ascii="宋体" w:hAnsi="宋体" w:eastAsia="宋体" w:cs="宋体"/>
          <w:color w:val="auto"/>
          <w:spacing w:val="-17"/>
          <w:sz w:val="24"/>
          <w:szCs w:val="24"/>
          <w:highlight w:val="none"/>
        </w:rPr>
      </w:pPr>
      <w:r>
        <w:rPr>
          <w:rFonts w:hint="eastAsia" w:ascii="宋体" w:hAnsi="宋体" w:eastAsia="宋体" w:cs="宋体"/>
          <w:b/>
          <w:color w:val="auto"/>
          <w:spacing w:val="-17"/>
          <w:kern w:val="2"/>
          <w:sz w:val="24"/>
          <w:szCs w:val="24"/>
          <w:highlight w:val="none"/>
          <w:lang w:val="en-US" w:eastAsia="zh-CN" w:bidi="ar-SA"/>
        </w:rPr>
        <w:t>第一条</w:t>
      </w:r>
      <w:r>
        <w:rPr>
          <w:rFonts w:hint="eastAsia" w:ascii="宋体" w:hAnsi="宋体" w:eastAsia="宋体" w:cs="宋体"/>
          <w:color w:val="auto"/>
          <w:sz w:val="24"/>
          <w:szCs w:val="24"/>
          <w:highlight w:val="none"/>
        </w:rPr>
        <w:t xml:space="preserve"> </w:t>
      </w:r>
      <w:bookmarkStart w:id="154" w:name="_Toc26476"/>
      <w:r>
        <w:rPr>
          <w:rFonts w:hint="eastAsia" w:ascii="宋体" w:hAnsi="宋体" w:eastAsia="宋体" w:cs="宋体"/>
          <w:color w:val="auto"/>
          <w:sz w:val="24"/>
          <w:szCs w:val="24"/>
          <w:highlight w:val="none"/>
        </w:rPr>
        <w:t>合同标</w:t>
      </w:r>
      <w:r>
        <w:rPr>
          <w:rFonts w:hint="eastAsia" w:ascii="宋体" w:hAnsi="宋体" w:eastAsia="宋体" w:cs="宋体"/>
          <w:color w:val="auto"/>
          <w:spacing w:val="-17"/>
          <w:sz w:val="24"/>
          <w:szCs w:val="24"/>
          <w:highlight w:val="none"/>
        </w:rPr>
        <w:t>的</w:t>
      </w:r>
      <w:bookmarkEnd w:id="154"/>
    </w:p>
    <w:p w14:paraId="15E2C5AB">
      <w:pPr>
        <w:pStyle w:val="2"/>
        <w:spacing w:line="360" w:lineRule="auto"/>
        <w:ind w:firstLine="45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供货一览表</w:t>
      </w:r>
    </w:p>
    <w:tbl>
      <w:tblPr>
        <w:tblStyle w:val="42"/>
        <w:tblW w:w="9062"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233"/>
        <w:gridCol w:w="1059"/>
        <w:gridCol w:w="1233"/>
        <w:gridCol w:w="1210"/>
        <w:gridCol w:w="908"/>
        <w:gridCol w:w="668"/>
        <w:gridCol w:w="1082"/>
        <w:gridCol w:w="960"/>
      </w:tblGrid>
      <w:tr w14:paraId="7B2FE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709" w:type="dxa"/>
            <w:vAlign w:val="center"/>
          </w:tcPr>
          <w:p w14:paraId="37C5F8FA">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33" w:type="dxa"/>
            <w:vAlign w:val="center"/>
          </w:tcPr>
          <w:p w14:paraId="40ED7014">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1059" w:type="dxa"/>
            <w:vAlign w:val="center"/>
          </w:tcPr>
          <w:p w14:paraId="6FF18043">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233" w:type="dxa"/>
            <w:vAlign w:val="center"/>
          </w:tcPr>
          <w:p w14:paraId="1ED271BE">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规格型号</w:t>
            </w:r>
          </w:p>
        </w:tc>
        <w:tc>
          <w:tcPr>
            <w:tcW w:w="1210" w:type="dxa"/>
            <w:vAlign w:val="center"/>
          </w:tcPr>
          <w:p w14:paraId="0A6252FA">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生产厂家</w:t>
            </w:r>
          </w:p>
        </w:tc>
        <w:tc>
          <w:tcPr>
            <w:tcW w:w="908" w:type="dxa"/>
            <w:vAlign w:val="center"/>
          </w:tcPr>
          <w:p w14:paraId="79160933">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668" w:type="dxa"/>
            <w:vAlign w:val="center"/>
          </w:tcPr>
          <w:p w14:paraId="5D6BD533">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082" w:type="dxa"/>
            <w:vAlign w:val="center"/>
          </w:tcPr>
          <w:p w14:paraId="0CDEE01E">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p w14:paraId="5D48A987">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960" w:type="dxa"/>
            <w:vAlign w:val="center"/>
          </w:tcPr>
          <w:p w14:paraId="479C7696">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w:t>
            </w:r>
          </w:p>
          <w:p w14:paraId="587E2A76">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r>
      <w:tr w14:paraId="55982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09" w:type="dxa"/>
            <w:vAlign w:val="center"/>
          </w:tcPr>
          <w:p w14:paraId="779C6417">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233" w:type="dxa"/>
            <w:vAlign w:val="center"/>
          </w:tcPr>
          <w:p w14:paraId="45B8B9F8">
            <w:pPr>
              <w:pStyle w:val="112"/>
              <w:spacing w:line="360" w:lineRule="auto"/>
              <w:jc w:val="center"/>
              <w:rPr>
                <w:rFonts w:hint="eastAsia" w:ascii="宋体" w:hAnsi="宋体" w:eastAsia="宋体" w:cs="宋体"/>
                <w:color w:val="auto"/>
                <w:sz w:val="24"/>
                <w:szCs w:val="24"/>
                <w:highlight w:val="none"/>
              </w:rPr>
            </w:pPr>
          </w:p>
        </w:tc>
        <w:tc>
          <w:tcPr>
            <w:tcW w:w="1059" w:type="dxa"/>
            <w:vAlign w:val="center"/>
          </w:tcPr>
          <w:p w14:paraId="5AC3436C">
            <w:pPr>
              <w:pStyle w:val="112"/>
              <w:spacing w:line="360" w:lineRule="auto"/>
              <w:jc w:val="center"/>
              <w:rPr>
                <w:rFonts w:hint="eastAsia" w:ascii="宋体" w:hAnsi="宋体" w:eastAsia="宋体" w:cs="宋体"/>
                <w:color w:val="auto"/>
                <w:sz w:val="24"/>
                <w:szCs w:val="24"/>
                <w:highlight w:val="none"/>
              </w:rPr>
            </w:pPr>
          </w:p>
        </w:tc>
        <w:tc>
          <w:tcPr>
            <w:tcW w:w="1233" w:type="dxa"/>
            <w:vAlign w:val="center"/>
          </w:tcPr>
          <w:p w14:paraId="0FFE6865">
            <w:pPr>
              <w:pStyle w:val="112"/>
              <w:spacing w:line="360" w:lineRule="auto"/>
              <w:jc w:val="center"/>
              <w:rPr>
                <w:rFonts w:hint="eastAsia" w:ascii="宋体" w:hAnsi="宋体" w:eastAsia="宋体" w:cs="宋体"/>
                <w:color w:val="auto"/>
                <w:sz w:val="24"/>
                <w:szCs w:val="24"/>
                <w:highlight w:val="none"/>
              </w:rPr>
            </w:pPr>
          </w:p>
        </w:tc>
        <w:tc>
          <w:tcPr>
            <w:tcW w:w="1210" w:type="dxa"/>
            <w:vAlign w:val="center"/>
          </w:tcPr>
          <w:p w14:paraId="2DF79C38">
            <w:pPr>
              <w:pStyle w:val="112"/>
              <w:spacing w:line="360" w:lineRule="auto"/>
              <w:jc w:val="center"/>
              <w:rPr>
                <w:rFonts w:hint="eastAsia" w:ascii="宋体" w:hAnsi="宋体" w:eastAsia="宋体" w:cs="宋体"/>
                <w:color w:val="auto"/>
                <w:sz w:val="24"/>
                <w:szCs w:val="24"/>
                <w:highlight w:val="none"/>
              </w:rPr>
            </w:pPr>
          </w:p>
        </w:tc>
        <w:tc>
          <w:tcPr>
            <w:tcW w:w="908" w:type="dxa"/>
            <w:vAlign w:val="center"/>
          </w:tcPr>
          <w:p w14:paraId="0F30ECA9">
            <w:pPr>
              <w:pStyle w:val="112"/>
              <w:spacing w:line="360" w:lineRule="auto"/>
              <w:jc w:val="center"/>
              <w:rPr>
                <w:rFonts w:hint="eastAsia" w:ascii="宋体" w:hAnsi="宋体" w:eastAsia="宋体" w:cs="宋体"/>
                <w:color w:val="auto"/>
                <w:sz w:val="24"/>
                <w:szCs w:val="24"/>
                <w:highlight w:val="none"/>
              </w:rPr>
            </w:pPr>
          </w:p>
        </w:tc>
        <w:tc>
          <w:tcPr>
            <w:tcW w:w="668" w:type="dxa"/>
            <w:vAlign w:val="center"/>
          </w:tcPr>
          <w:p w14:paraId="62F3BA7A">
            <w:pPr>
              <w:pStyle w:val="112"/>
              <w:spacing w:line="360" w:lineRule="auto"/>
              <w:jc w:val="center"/>
              <w:rPr>
                <w:rFonts w:hint="eastAsia" w:ascii="宋体" w:hAnsi="宋体" w:eastAsia="宋体" w:cs="宋体"/>
                <w:color w:val="auto"/>
                <w:sz w:val="24"/>
                <w:szCs w:val="24"/>
                <w:highlight w:val="none"/>
              </w:rPr>
            </w:pPr>
          </w:p>
        </w:tc>
        <w:tc>
          <w:tcPr>
            <w:tcW w:w="1082" w:type="dxa"/>
            <w:vAlign w:val="center"/>
          </w:tcPr>
          <w:p w14:paraId="3B45C52B">
            <w:pPr>
              <w:pStyle w:val="112"/>
              <w:spacing w:line="360" w:lineRule="auto"/>
              <w:jc w:val="center"/>
              <w:rPr>
                <w:rFonts w:hint="eastAsia" w:ascii="宋体" w:hAnsi="宋体" w:eastAsia="宋体" w:cs="宋体"/>
                <w:color w:val="auto"/>
                <w:sz w:val="24"/>
                <w:szCs w:val="24"/>
                <w:highlight w:val="none"/>
              </w:rPr>
            </w:pPr>
          </w:p>
        </w:tc>
        <w:tc>
          <w:tcPr>
            <w:tcW w:w="960" w:type="dxa"/>
            <w:vAlign w:val="center"/>
          </w:tcPr>
          <w:p w14:paraId="7EA9DD35">
            <w:pPr>
              <w:pStyle w:val="112"/>
              <w:spacing w:line="360" w:lineRule="auto"/>
              <w:jc w:val="center"/>
              <w:rPr>
                <w:rFonts w:hint="eastAsia" w:ascii="宋体" w:hAnsi="宋体" w:eastAsia="宋体" w:cs="宋体"/>
                <w:color w:val="auto"/>
                <w:sz w:val="24"/>
                <w:szCs w:val="24"/>
                <w:highlight w:val="none"/>
              </w:rPr>
            </w:pPr>
          </w:p>
        </w:tc>
      </w:tr>
      <w:tr w14:paraId="3638F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709" w:type="dxa"/>
            <w:vAlign w:val="center"/>
          </w:tcPr>
          <w:p w14:paraId="49BFE66E">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233" w:type="dxa"/>
            <w:vAlign w:val="center"/>
          </w:tcPr>
          <w:p w14:paraId="61F7DBEE">
            <w:pPr>
              <w:pStyle w:val="112"/>
              <w:spacing w:line="360" w:lineRule="auto"/>
              <w:jc w:val="center"/>
              <w:rPr>
                <w:rFonts w:hint="eastAsia" w:ascii="宋体" w:hAnsi="宋体" w:eastAsia="宋体" w:cs="宋体"/>
                <w:color w:val="auto"/>
                <w:sz w:val="24"/>
                <w:szCs w:val="24"/>
                <w:highlight w:val="none"/>
              </w:rPr>
            </w:pPr>
          </w:p>
        </w:tc>
        <w:tc>
          <w:tcPr>
            <w:tcW w:w="1059" w:type="dxa"/>
            <w:vAlign w:val="center"/>
          </w:tcPr>
          <w:p w14:paraId="7CBD2EB8">
            <w:pPr>
              <w:pStyle w:val="112"/>
              <w:spacing w:line="360" w:lineRule="auto"/>
              <w:jc w:val="center"/>
              <w:rPr>
                <w:rFonts w:hint="eastAsia" w:ascii="宋体" w:hAnsi="宋体" w:eastAsia="宋体" w:cs="宋体"/>
                <w:color w:val="auto"/>
                <w:sz w:val="24"/>
                <w:szCs w:val="24"/>
                <w:highlight w:val="none"/>
              </w:rPr>
            </w:pPr>
          </w:p>
        </w:tc>
        <w:tc>
          <w:tcPr>
            <w:tcW w:w="1233" w:type="dxa"/>
            <w:vAlign w:val="center"/>
          </w:tcPr>
          <w:p w14:paraId="00B65351">
            <w:pPr>
              <w:pStyle w:val="112"/>
              <w:spacing w:line="360" w:lineRule="auto"/>
              <w:jc w:val="center"/>
              <w:rPr>
                <w:rFonts w:hint="eastAsia" w:ascii="宋体" w:hAnsi="宋体" w:eastAsia="宋体" w:cs="宋体"/>
                <w:color w:val="auto"/>
                <w:sz w:val="24"/>
                <w:szCs w:val="24"/>
                <w:highlight w:val="none"/>
              </w:rPr>
            </w:pPr>
          </w:p>
        </w:tc>
        <w:tc>
          <w:tcPr>
            <w:tcW w:w="1210" w:type="dxa"/>
            <w:vAlign w:val="center"/>
          </w:tcPr>
          <w:p w14:paraId="6DA6F150">
            <w:pPr>
              <w:pStyle w:val="112"/>
              <w:spacing w:line="360" w:lineRule="auto"/>
              <w:jc w:val="center"/>
              <w:rPr>
                <w:rFonts w:hint="eastAsia" w:ascii="宋体" w:hAnsi="宋体" w:eastAsia="宋体" w:cs="宋体"/>
                <w:color w:val="auto"/>
                <w:sz w:val="24"/>
                <w:szCs w:val="24"/>
                <w:highlight w:val="none"/>
              </w:rPr>
            </w:pPr>
          </w:p>
        </w:tc>
        <w:tc>
          <w:tcPr>
            <w:tcW w:w="908" w:type="dxa"/>
            <w:vAlign w:val="center"/>
          </w:tcPr>
          <w:p w14:paraId="38846E52">
            <w:pPr>
              <w:pStyle w:val="112"/>
              <w:spacing w:line="360" w:lineRule="auto"/>
              <w:jc w:val="center"/>
              <w:rPr>
                <w:rFonts w:hint="eastAsia" w:ascii="宋体" w:hAnsi="宋体" w:eastAsia="宋体" w:cs="宋体"/>
                <w:color w:val="auto"/>
                <w:sz w:val="24"/>
                <w:szCs w:val="24"/>
                <w:highlight w:val="none"/>
              </w:rPr>
            </w:pPr>
          </w:p>
        </w:tc>
        <w:tc>
          <w:tcPr>
            <w:tcW w:w="668" w:type="dxa"/>
            <w:vAlign w:val="center"/>
          </w:tcPr>
          <w:p w14:paraId="4B890027">
            <w:pPr>
              <w:pStyle w:val="112"/>
              <w:spacing w:line="360" w:lineRule="auto"/>
              <w:jc w:val="center"/>
              <w:rPr>
                <w:rFonts w:hint="eastAsia" w:ascii="宋体" w:hAnsi="宋体" w:eastAsia="宋体" w:cs="宋体"/>
                <w:color w:val="auto"/>
                <w:sz w:val="24"/>
                <w:szCs w:val="24"/>
                <w:highlight w:val="none"/>
              </w:rPr>
            </w:pPr>
          </w:p>
        </w:tc>
        <w:tc>
          <w:tcPr>
            <w:tcW w:w="1082" w:type="dxa"/>
            <w:vAlign w:val="center"/>
          </w:tcPr>
          <w:p w14:paraId="61D7B321">
            <w:pPr>
              <w:pStyle w:val="112"/>
              <w:spacing w:line="360" w:lineRule="auto"/>
              <w:jc w:val="center"/>
              <w:rPr>
                <w:rFonts w:hint="eastAsia" w:ascii="宋体" w:hAnsi="宋体" w:eastAsia="宋体" w:cs="宋体"/>
                <w:color w:val="auto"/>
                <w:sz w:val="24"/>
                <w:szCs w:val="24"/>
                <w:highlight w:val="none"/>
              </w:rPr>
            </w:pPr>
          </w:p>
        </w:tc>
        <w:tc>
          <w:tcPr>
            <w:tcW w:w="960" w:type="dxa"/>
            <w:vAlign w:val="center"/>
          </w:tcPr>
          <w:p w14:paraId="2AFFE676">
            <w:pPr>
              <w:pStyle w:val="112"/>
              <w:spacing w:line="360" w:lineRule="auto"/>
              <w:jc w:val="center"/>
              <w:rPr>
                <w:rFonts w:hint="eastAsia" w:ascii="宋体" w:hAnsi="宋体" w:eastAsia="宋体" w:cs="宋体"/>
                <w:color w:val="auto"/>
                <w:sz w:val="24"/>
                <w:szCs w:val="24"/>
                <w:highlight w:val="none"/>
              </w:rPr>
            </w:pPr>
          </w:p>
        </w:tc>
      </w:tr>
      <w:tr w14:paraId="5389F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709" w:type="dxa"/>
            <w:vAlign w:val="center"/>
          </w:tcPr>
          <w:p w14:paraId="4393F8AE">
            <w:pPr>
              <w:pStyle w:val="112"/>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p>
        </w:tc>
        <w:tc>
          <w:tcPr>
            <w:tcW w:w="1233" w:type="dxa"/>
            <w:vAlign w:val="center"/>
          </w:tcPr>
          <w:p w14:paraId="1EB80EDE">
            <w:pPr>
              <w:pStyle w:val="112"/>
              <w:spacing w:line="360" w:lineRule="auto"/>
              <w:jc w:val="center"/>
              <w:rPr>
                <w:rFonts w:hint="eastAsia" w:ascii="宋体" w:hAnsi="宋体" w:eastAsia="宋体" w:cs="宋体"/>
                <w:color w:val="auto"/>
                <w:sz w:val="24"/>
                <w:szCs w:val="24"/>
                <w:highlight w:val="none"/>
              </w:rPr>
            </w:pPr>
          </w:p>
        </w:tc>
        <w:tc>
          <w:tcPr>
            <w:tcW w:w="1059" w:type="dxa"/>
            <w:vAlign w:val="center"/>
          </w:tcPr>
          <w:p w14:paraId="161F2475">
            <w:pPr>
              <w:pStyle w:val="112"/>
              <w:spacing w:line="360" w:lineRule="auto"/>
              <w:jc w:val="center"/>
              <w:rPr>
                <w:rFonts w:hint="eastAsia" w:ascii="宋体" w:hAnsi="宋体" w:eastAsia="宋体" w:cs="宋体"/>
                <w:color w:val="auto"/>
                <w:sz w:val="24"/>
                <w:szCs w:val="24"/>
                <w:highlight w:val="none"/>
              </w:rPr>
            </w:pPr>
          </w:p>
        </w:tc>
        <w:tc>
          <w:tcPr>
            <w:tcW w:w="1233" w:type="dxa"/>
            <w:vAlign w:val="center"/>
          </w:tcPr>
          <w:p w14:paraId="43C64CC2">
            <w:pPr>
              <w:pStyle w:val="112"/>
              <w:spacing w:line="360" w:lineRule="auto"/>
              <w:jc w:val="center"/>
              <w:rPr>
                <w:rFonts w:hint="eastAsia" w:ascii="宋体" w:hAnsi="宋体" w:eastAsia="宋体" w:cs="宋体"/>
                <w:color w:val="auto"/>
                <w:sz w:val="24"/>
                <w:szCs w:val="24"/>
                <w:highlight w:val="none"/>
              </w:rPr>
            </w:pPr>
          </w:p>
        </w:tc>
        <w:tc>
          <w:tcPr>
            <w:tcW w:w="1210" w:type="dxa"/>
            <w:vAlign w:val="center"/>
          </w:tcPr>
          <w:p w14:paraId="297B876B">
            <w:pPr>
              <w:pStyle w:val="112"/>
              <w:spacing w:line="360" w:lineRule="auto"/>
              <w:jc w:val="center"/>
              <w:rPr>
                <w:rFonts w:hint="eastAsia" w:ascii="宋体" w:hAnsi="宋体" w:eastAsia="宋体" w:cs="宋体"/>
                <w:color w:val="auto"/>
                <w:sz w:val="24"/>
                <w:szCs w:val="24"/>
                <w:highlight w:val="none"/>
              </w:rPr>
            </w:pPr>
          </w:p>
        </w:tc>
        <w:tc>
          <w:tcPr>
            <w:tcW w:w="908" w:type="dxa"/>
            <w:vAlign w:val="center"/>
          </w:tcPr>
          <w:p w14:paraId="0306DEA7">
            <w:pPr>
              <w:pStyle w:val="112"/>
              <w:spacing w:line="360" w:lineRule="auto"/>
              <w:jc w:val="center"/>
              <w:rPr>
                <w:rFonts w:hint="eastAsia" w:ascii="宋体" w:hAnsi="宋体" w:eastAsia="宋体" w:cs="宋体"/>
                <w:color w:val="auto"/>
                <w:sz w:val="24"/>
                <w:szCs w:val="24"/>
                <w:highlight w:val="none"/>
              </w:rPr>
            </w:pPr>
          </w:p>
        </w:tc>
        <w:tc>
          <w:tcPr>
            <w:tcW w:w="668" w:type="dxa"/>
            <w:vAlign w:val="center"/>
          </w:tcPr>
          <w:p w14:paraId="39986AC9">
            <w:pPr>
              <w:pStyle w:val="112"/>
              <w:spacing w:line="360" w:lineRule="auto"/>
              <w:jc w:val="center"/>
              <w:rPr>
                <w:rFonts w:hint="eastAsia" w:ascii="宋体" w:hAnsi="宋体" w:eastAsia="宋体" w:cs="宋体"/>
                <w:color w:val="auto"/>
                <w:sz w:val="24"/>
                <w:szCs w:val="24"/>
                <w:highlight w:val="none"/>
              </w:rPr>
            </w:pPr>
          </w:p>
        </w:tc>
        <w:tc>
          <w:tcPr>
            <w:tcW w:w="1082" w:type="dxa"/>
            <w:vAlign w:val="center"/>
          </w:tcPr>
          <w:p w14:paraId="27456AC1">
            <w:pPr>
              <w:pStyle w:val="112"/>
              <w:spacing w:line="360" w:lineRule="auto"/>
              <w:jc w:val="center"/>
              <w:rPr>
                <w:rFonts w:hint="eastAsia" w:ascii="宋体" w:hAnsi="宋体" w:eastAsia="宋体" w:cs="宋体"/>
                <w:color w:val="auto"/>
                <w:sz w:val="24"/>
                <w:szCs w:val="24"/>
                <w:highlight w:val="none"/>
              </w:rPr>
            </w:pPr>
          </w:p>
        </w:tc>
        <w:tc>
          <w:tcPr>
            <w:tcW w:w="960" w:type="dxa"/>
            <w:vAlign w:val="center"/>
          </w:tcPr>
          <w:p w14:paraId="2D1D2E67">
            <w:pPr>
              <w:pStyle w:val="112"/>
              <w:spacing w:line="360" w:lineRule="auto"/>
              <w:jc w:val="center"/>
              <w:rPr>
                <w:rFonts w:hint="eastAsia" w:ascii="宋体" w:hAnsi="宋体" w:eastAsia="宋体" w:cs="宋体"/>
                <w:color w:val="auto"/>
                <w:sz w:val="24"/>
                <w:szCs w:val="24"/>
                <w:highlight w:val="none"/>
              </w:rPr>
            </w:pPr>
          </w:p>
        </w:tc>
      </w:tr>
      <w:tr w14:paraId="2F37F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709" w:type="dxa"/>
            <w:vAlign w:val="center"/>
          </w:tcPr>
          <w:p w14:paraId="6F3222BC">
            <w:pPr>
              <w:pStyle w:val="112"/>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p>
        </w:tc>
        <w:tc>
          <w:tcPr>
            <w:tcW w:w="1233" w:type="dxa"/>
            <w:vAlign w:val="center"/>
          </w:tcPr>
          <w:p w14:paraId="716B6E38">
            <w:pPr>
              <w:pStyle w:val="112"/>
              <w:spacing w:line="360" w:lineRule="auto"/>
              <w:jc w:val="center"/>
              <w:rPr>
                <w:rFonts w:hint="eastAsia" w:ascii="宋体" w:hAnsi="宋体" w:eastAsia="宋体" w:cs="宋体"/>
                <w:color w:val="auto"/>
                <w:sz w:val="24"/>
                <w:szCs w:val="24"/>
                <w:highlight w:val="none"/>
              </w:rPr>
            </w:pPr>
          </w:p>
        </w:tc>
        <w:tc>
          <w:tcPr>
            <w:tcW w:w="1059" w:type="dxa"/>
            <w:vAlign w:val="center"/>
          </w:tcPr>
          <w:p w14:paraId="41705826">
            <w:pPr>
              <w:pStyle w:val="112"/>
              <w:spacing w:line="360" w:lineRule="auto"/>
              <w:jc w:val="center"/>
              <w:rPr>
                <w:rFonts w:hint="eastAsia" w:ascii="宋体" w:hAnsi="宋体" w:eastAsia="宋体" w:cs="宋体"/>
                <w:color w:val="auto"/>
                <w:sz w:val="24"/>
                <w:szCs w:val="24"/>
                <w:highlight w:val="none"/>
              </w:rPr>
            </w:pPr>
          </w:p>
        </w:tc>
        <w:tc>
          <w:tcPr>
            <w:tcW w:w="1233" w:type="dxa"/>
            <w:vAlign w:val="center"/>
          </w:tcPr>
          <w:p w14:paraId="0DF282BF">
            <w:pPr>
              <w:pStyle w:val="112"/>
              <w:spacing w:line="360" w:lineRule="auto"/>
              <w:jc w:val="center"/>
              <w:rPr>
                <w:rFonts w:hint="eastAsia" w:ascii="宋体" w:hAnsi="宋体" w:eastAsia="宋体" w:cs="宋体"/>
                <w:color w:val="auto"/>
                <w:sz w:val="24"/>
                <w:szCs w:val="24"/>
                <w:highlight w:val="none"/>
              </w:rPr>
            </w:pPr>
          </w:p>
        </w:tc>
        <w:tc>
          <w:tcPr>
            <w:tcW w:w="1210" w:type="dxa"/>
            <w:vAlign w:val="center"/>
          </w:tcPr>
          <w:p w14:paraId="2B8EA42B">
            <w:pPr>
              <w:pStyle w:val="112"/>
              <w:spacing w:line="360" w:lineRule="auto"/>
              <w:jc w:val="center"/>
              <w:rPr>
                <w:rFonts w:hint="eastAsia" w:ascii="宋体" w:hAnsi="宋体" w:eastAsia="宋体" w:cs="宋体"/>
                <w:color w:val="auto"/>
                <w:sz w:val="24"/>
                <w:szCs w:val="24"/>
                <w:highlight w:val="none"/>
              </w:rPr>
            </w:pPr>
          </w:p>
        </w:tc>
        <w:tc>
          <w:tcPr>
            <w:tcW w:w="908" w:type="dxa"/>
            <w:vAlign w:val="center"/>
          </w:tcPr>
          <w:p w14:paraId="1A3CC3BD">
            <w:pPr>
              <w:pStyle w:val="112"/>
              <w:spacing w:line="360" w:lineRule="auto"/>
              <w:jc w:val="center"/>
              <w:rPr>
                <w:rFonts w:hint="eastAsia" w:ascii="宋体" w:hAnsi="宋体" w:eastAsia="宋体" w:cs="宋体"/>
                <w:color w:val="auto"/>
                <w:sz w:val="24"/>
                <w:szCs w:val="24"/>
                <w:highlight w:val="none"/>
              </w:rPr>
            </w:pPr>
          </w:p>
        </w:tc>
        <w:tc>
          <w:tcPr>
            <w:tcW w:w="668" w:type="dxa"/>
            <w:vAlign w:val="center"/>
          </w:tcPr>
          <w:p w14:paraId="282DF364">
            <w:pPr>
              <w:pStyle w:val="112"/>
              <w:spacing w:line="360" w:lineRule="auto"/>
              <w:jc w:val="center"/>
              <w:rPr>
                <w:rFonts w:hint="eastAsia" w:ascii="宋体" w:hAnsi="宋体" w:eastAsia="宋体" w:cs="宋体"/>
                <w:color w:val="auto"/>
                <w:sz w:val="24"/>
                <w:szCs w:val="24"/>
                <w:highlight w:val="none"/>
              </w:rPr>
            </w:pPr>
          </w:p>
        </w:tc>
        <w:tc>
          <w:tcPr>
            <w:tcW w:w="1082" w:type="dxa"/>
            <w:vAlign w:val="center"/>
          </w:tcPr>
          <w:p w14:paraId="05DF12FB">
            <w:pPr>
              <w:pStyle w:val="112"/>
              <w:spacing w:line="360" w:lineRule="auto"/>
              <w:jc w:val="center"/>
              <w:rPr>
                <w:rFonts w:hint="eastAsia" w:ascii="宋体" w:hAnsi="宋体" w:eastAsia="宋体" w:cs="宋体"/>
                <w:color w:val="auto"/>
                <w:sz w:val="24"/>
                <w:szCs w:val="24"/>
                <w:highlight w:val="none"/>
              </w:rPr>
            </w:pPr>
          </w:p>
        </w:tc>
        <w:tc>
          <w:tcPr>
            <w:tcW w:w="960" w:type="dxa"/>
            <w:vAlign w:val="center"/>
          </w:tcPr>
          <w:p w14:paraId="59E7DDE1">
            <w:pPr>
              <w:pStyle w:val="112"/>
              <w:spacing w:line="360" w:lineRule="auto"/>
              <w:jc w:val="center"/>
              <w:rPr>
                <w:rFonts w:hint="eastAsia" w:ascii="宋体" w:hAnsi="宋体" w:eastAsia="宋体" w:cs="宋体"/>
                <w:color w:val="auto"/>
                <w:sz w:val="24"/>
                <w:szCs w:val="24"/>
                <w:highlight w:val="none"/>
              </w:rPr>
            </w:pPr>
          </w:p>
        </w:tc>
      </w:tr>
      <w:tr w14:paraId="6DA50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9062" w:type="dxa"/>
            <w:gridSpan w:val="9"/>
            <w:vAlign w:val="center"/>
          </w:tcPr>
          <w:p w14:paraId="1038C9DE">
            <w:pPr>
              <w:pStyle w:val="11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人民币合计金额：</w:t>
            </w:r>
          </w:p>
        </w:tc>
      </w:tr>
    </w:tbl>
    <w:p w14:paraId="6E3BFE89">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上述合同金额包括货物、服务价款，备件、专用工具、安装、调试、检验、技术培训及技术资料和包装、运输等全部费用。如招标文件需求一览表另有规定的，从其规定。</w:t>
      </w:r>
    </w:p>
    <w:p w14:paraId="0EA0BC98">
      <w:pPr>
        <w:pStyle w:val="2"/>
        <w:numPr>
          <w:ilvl w:val="0"/>
          <w:numId w:val="0"/>
        </w:numPr>
        <w:spacing w:line="360" w:lineRule="auto"/>
        <w:outlineLvl w:val="9"/>
        <w:rPr>
          <w:rFonts w:hint="eastAsia" w:ascii="宋体" w:hAnsi="宋体" w:eastAsia="宋体" w:cs="宋体"/>
          <w:b/>
          <w:color w:val="auto"/>
          <w:spacing w:val="-17"/>
          <w:kern w:val="2"/>
          <w:sz w:val="24"/>
          <w:szCs w:val="24"/>
          <w:highlight w:val="none"/>
          <w:lang w:val="en-US" w:eastAsia="zh-CN" w:bidi="ar-SA"/>
        </w:rPr>
      </w:pPr>
      <w:bookmarkStart w:id="155" w:name="_Toc3405"/>
      <w:r>
        <w:rPr>
          <w:rFonts w:hint="eastAsia" w:ascii="宋体" w:hAnsi="宋体" w:eastAsia="宋体" w:cs="宋体"/>
          <w:b/>
          <w:color w:val="auto"/>
          <w:spacing w:val="-17"/>
          <w:kern w:val="2"/>
          <w:sz w:val="24"/>
          <w:szCs w:val="24"/>
          <w:highlight w:val="none"/>
          <w:lang w:val="en-US" w:eastAsia="zh-CN" w:bidi="ar-SA"/>
        </w:rPr>
        <w:t>第二条</w:t>
      </w:r>
      <w:r>
        <w:rPr>
          <w:rFonts w:hint="eastAsia" w:ascii="宋体" w:hAnsi="宋体" w:eastAsia="宋体" w:cs="宋体"/>
          <w:b/>
          <w:color w:val="auto"/>
          <w:spacing w:val="-17"/>
          <w:kern w:val="2"/>
          <w:sz w:val="24"/>
          <w:szCs w:val="24"/>
          <w:highlight w:val="none"/>
          <w:lang w:val="en-US" w:eastAsia="zh-CN" w:bidi="ar-SA"/>
        </w:rPr>
        <w:tab/>
      </w:r>
      <w:r>
        <w:rPr>
          <w:rFonts w:hint="eastAsia" w:ascii="宋体" w:hAnsi="宋体" w:eastAsia="宋体" w:cs="宋体"/>
          <w:b/>
          <w:color w:val="auto"/>
          <w:spacing w:val="-17"/>
          <w:kern w:val="2"/>
          <w:sz w:val="24"/>
          <w:szCs w:val="24"/>
          <w:highlight w:val="none"/>
          <w:lang w:val="en-US" w:eastAsia="zh-CN" w:bidi="ar-SA"/>
        </w:rPr>
        <w:t>质量保证</w:t>
      </w:r>
      <w:bookmarkEnd w:id="155"/>
    </w:p>
    <w:p w14:paraId="476FB935">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乙方所提供的货物型号、技术规格、技术参数等质量必须与投标文件和承诺相一致。乙方提供的节能和环保产品必须是列入政府采购清单的产品。</w:t>
      </w:r>
    </w:p>
    <w:p w14:paraId="2421039E">
      <w:pPr>
        <w:pStyle w:val="2"/>
        <w:spacing w:line="360" w:lineRule="auto"/>
        <w:ind w:firstLine="448"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乙方所提供的货物必须是全新、未使用的原装产品，且在正常安装、使用和保养条件下，其使用寿命期内各项指标均达到质量要求。</w:t>
      </w:r>
    </w:p>
    <w:p w14:paraId="21948451">
      <w:pPr>
        <w:spacing w:line="360" w:lineRule="auto"/>
        <w:outlineLvl w:val="9"/>
        <w:rPr>
          <w:rFonts w:hint="eastAsia" w:ascii="宋体" w:hAnsi="宋体" w:eastAsia="宋体" w:cs="宋体"/>
          <w:bCs/>
          <w:color w:val="auto"/>
          <w:sz w:val="24"/>
          <w:szCs w:val="24"/>
          <w:highlight w:val="none"/>
        </w:rPr>
      </w:pPr>
      <w:bookmarkStart w:id="156" w:name="_Toc22347"/>
      <w:r>
        <w:rPr>
          <w:rFonts w:hint="eastAsia" w:ascii="宋体" w:hAnsi="宋体" w:eastAsia="宋体" w:cs="宋体"/>
          <w:b/>
          <w:bCs/>
          <w:color w:val="auto"/>
          <w:sz w:val="24"/>
          <w:highlight w:val="none"/>
        </w:rPr>
        <w:t>第三条</w:t>
      </w:r>
      <w:r>
        <w:rPr>
          <w:rFonts w:hint="eastAsia" w:ascii="宋体" w:hAnsi="宋体" w:eastAsia="宋体" w:cs="宋体"/>
          <w:b/>
          <w:bCs/>
          <w:color w:val="auto"/>
          <w:sz w:val="24"/>
          <w:highlight w:val="none"/>
        </w:rPr>
        <w:tab/>
      </w:r>
      <w:r>
        <w:rPr>
          <w:rFonts w:hint="eastAsia" w:ascii="宋体" w:hAnsi="宋体" w:eastAsia="宋体" w:cs="宋体"/>
          <w:b/>
          <w:bCs/>
          <w:color w:val="auto"/>
          <w:sz w:val="24"/>
          <w:highlight w:val="none"/>
        </w:rPr>
        <w:t>权利保证</w:t>
      </w:r>
      <w:bookmarkEnd w:id="156"/>
    </w:p>
    <w:p w14:paraId="59A4C894">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乙方应保证所提供货物在使用时不会侵犯任何第三方的专利权、商标权、工业设计权或其他权利。</w:t>
      </w:r>
    </w:p>
    <w:p w14:paraId="21AFB59A">
      <w:pPr>
        <w:pStyle w:val="2"/>
        <w:spacing w:line="360" w:lineRule="auto"/>
        <w:ind w:firstLine="448"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乙方应按采购文件规定的时间向甲方提供使用货物的有关技术资料。没有甲方事先书面同意，乙方不得将由甲方提供的有关合同或任何合同条文、规格、计划、图纸、样品或资料提供给与履行本合同无关的任何其他人。乙方保证所交付的货物的所有权完全属于乙方且无任何抵押、质押、查封等产权瑕疵。</w:t>
      </w:r>
    </w:p>
    <w:p w14:paraId="7F10F3D3">
      <w:pPr>
        <w:pStyle w:val="2"/>
        <w:spacing w:line="360" w:lineRule="auto"/>
        <w:outlineLvl w:val="9"/>
        <w:rPr>
          <w:rFonts w:hint="eastAsia" w:ascii="宋体" w:hAnsi="宋体" w:eastAsia="宋体" w:cs="宋体"/>
          <w:bCs/>
          <w:color w:val="auto"/>
          <w:sz w:val="24"/>
          <w:szCs w:val="24"/>
          <w:highlight w:val="none"/>
        </w:rPr>
      </w:pPr>
      <w:bookmarkStart w:id="157" w:name="_Toc1313"/>
      <w:r>
        <w:rPr>
          <w:rFonts w:hint="eastAsia" w:ascii="宋体" w:hAnsi="宋体" w:eastAsia="宋体" w:cs="宋体"/>
          <w:bCs/>
          <w:color w:val="auto"/>
          <w:sz w:val="24"/>
          <w:szCs w:val="24"/>
          <w:highlight w:val="none"/>
        </w:rPr>
        <w:t>第四条</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包装和运输</w:t>
      </w:r>
      <w:bookmarkEnd w:id="157"/>
    </w:p>
    <w:p w14:paraId="4866D1EC">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乙方提供的货物均应按要求的包装材料、包装标准、包装方式进行包装，每一包装单元内应附详细的装箱单和质量合格证。</w:t>
      </w:r>
    </w:p>
    <w:p w14:paraId="2B9036B5">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货物的运输方式：</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568F8DC7">
      <w:pPr>
        <w:pStyle w:val="2"/>
        <w:spacing w:line="360" w:lineRule="auto"/>
        <w:ind w:firstLine="448" w:firstLineChars="200"/>
        <w:rPr>
          <w:rFonts w:hint="eastAsia" w:ascii="宋体" w:hAnsi="宋体" w:eastAsia="宋体" w:cs="宋体"/>
          <w:b w:val="0"/>
          <w:bCs/>
          <w:color w:val="auto"/>
          <w:spacing w:val="-1"/>
          <w:sz w:val="24"/>
          <w:szCs w:val="24"/>
          <w:highlight w:val="none"/>
          <w:u w:val="single"/>
          <w:lang w:eastAsia="zh-CN"/>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乙方负责货物运输，货物运输合理损耗及计算方法：</w:t>
      </w:r>
      <w:r>
        <w:rPr>
          <w:rFonts w:hint="eastAsia" w:ascii="宋体" w:hAnsi="宋体" w:eastAsia="宋体" w:cs="宋体"/>
          <w:b w:val="0"/>
          <w:bCs/>
          <w:color w:val="auto"/>
          <w:sz w:val="24"/>
          <w:szCs w:val="24"/>
          <w:highlight w:val="none"/>
          <w:u w:val="single"/>
        </w:rPr>
        <w:t>本项目合同不接受损耗</w:t>
      </w:r>
      <w:r>
        <w:rPr>
          <w:rFonts w:hint="eastAsia" w:ascii="宋体" w:hAnsi="宋体" w:eastAsia="宋体" w:cs="宋体"/>
          <w:b w:val="0"/>
          <w:bCs/>
          <w:color w:val="auto"/>
          <w:sz w:val="24"/>
          <w:szCs w:val="24"/>
          <w:highlight w:val="none"/>
          <w:u w:val="none"/>
          <w:lang w:eastAsia="zh-CN"/>
        </w:rPr>
        <w:t>。</w:t>
      </w:r>
    </w:p>
    <w:p w14:paraId="5C3EE4D5">
      <w:pPr>
        <w:pStyle w:val="2"/>
        <w:spacing w:line="360" w:lineRule="auto"/>
        <w:outlineLvl w:val="9"/>
        <w:rPr>
          <w:rFonts w:hint="eastAsia" w:ascii="宋体" w:hAnsi="宋体" w:eastAsia="宋体" w:cs="宋体"/>
          <w:bCs/>
          <w:color w:val="auto"/>
          <w:sz w:val="24"/>
          <w:szCs w:val="24"/>
          <w:highlight w:val="none"/>
        </w:rPr>
      </w:pPr>
      <w:bookmarkStart w:id="158" w:name="_Toc23581"/>
      <w:r>
        <w:rPr>
          <w:rFonts w:hint="eastAsia" w:ascii="宋体" w:hAnsi="宋体" w:eastAsia="宋体" w:cs="宋体"/>
          <w:bCs/>
          <w:color w:val="auto"/>
          <w:sz w:val="24"/>
          <w:szCs w:val="24"/>
          <w:highlight w:val="none"/>
        </w:rPr>
        <w:t>第五条</w:t>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交付和验收</w:t>
      </w:r>
      <w:bookmarkEnd w:id="158"/>
    </w:p>
    <w:p w14:paraId="73DD9B8A">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交货时间及地点：</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17A4E702">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甲方应当在乙方到货且安装、调试完成，试用无异常后7个工作日内进行货物验收，乙方交付甲方验收前应对产品作出全面检查以及对验收文件进行整理，并列出清单，作为甲方收货验收和使用的技术条件依据，检验的结果应随货物交付甲方。如乙方交付的货物不符合招标文件和本合同约定的，甲方有权拒绝验收和接受；验收合格的，由甲乙双方签署货物验收单并加盖单位公章，甲乙双方各执一份。甲方对乙方货物（包括安装调试）的验收仅为形式上的验收，乙方在任何时候均不得以已通过甲方验收为由主张免除或减轻其对货物（包括安装调试）应当承担的质量保证责任。</w:t>
      </w:r>
    </w:p>
    <w:p w14:paraId="2C3F0488">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乙方应将所提供货物的装箱清单、用户手册、原厂保修卡、随机资料、工具和备品、备件等交付给甲方，货物应同时附上使用说明书，如有缺失应及时补齐，否则视为逾期交货。</w:t>
      </w:r>
    </w:p>
    <w:p w14:paraId="089D8FDB">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采购人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14:paraId="1FA46BC0">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甲方对验收有异议的，在验收后十个工作日内以书面形式向乙方提出，乙方应自收到甲方书面异议后</w:t>
      </w:r>
      <w:r>
        <w:rPr>
          <w:rFonts w:hint="eastAsia" w:ascii="宋体" w:hAnsi="宋体" w:eastAsia="宋体" w:cs="宋体"/>
          <w:b w:val="0"/>
          <w:bCs/>
          <w:color w:val="auto"/>
          <w:sz w:val="24"/>
          <w:szCs w:val="24"/>
          <w:highlight w:val="none"/>
          <w:u w:val="single"/>
        </w:rPr>
        <w:t>五个工作</w:t>
      </w:r>
      <w:r>
        <w:rPr>
          <w:rFonts w:hint="eastAsia" w:ascii="宋体" w:hAnsi="宋体" w:eastAsia="宋体" w:cs="宋体"/>
          <w:b w:val="0"/>
          <w:bCs/>
          <w:color w:val="auto"/>
          <w:sz w:val="24"/>
          <w:szCs w:val="24"/>
          <w:highlight w:val="none"/>
        </w:rPr>
        <w:t>日内及时予以解决。</w:t>
      </w:r>
    </w:p>
    <w:p w14:paraId="01C65828">
      <w:pPr>
        <w:outlineLvl w:val="9"/>
        <w:rPr>
          <w:rFonts w:hint="eastAsia" w:ascii="宋体" w:hAnsi="宋体" w:eastAsia="宋体" w:cs="宋体"/>
          <w:bCs/>
          <w:color w:val="auto"/>
          <w:sz w:val="24"/>
          <w:szCs w:val="24"/>
          <w:highlight w:val="none"/>
        </w:rPr>
      </w:pPr>
      <w:bookmarkStart w:id="159" w:name="_Toc27101"/>
      <w:r>
        <w:rPr>
          <w:rFonts w:hint="eastAsia" w:ascii="宋体" w:hAnsi="宋体" w:eastAsia="宋体" w:cs="宋体"/>
          <w:bCs/>
          <w:color w:val="auto"/>
          <w:sz w:val="24"/>
          <w:szCs w:val="24"/>
          <w:highlight w:val="none"/>
        </w:rPr>
        <w:t>第六条 安装和培训</w:t>
      </w:r>
      <w:bookmarkEnd w:id="159"/>
    </w:p>
    <w:p w14:paraId="31309ADF">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甲方应向乙方提供必要的安装条件（如场地、电源、水源等）。</w:t>
      </w:r>
    </w:p>
    <w:p w14:paraId="30B23A87">
      <w:pPr>
        <w:pStyle w:val="2"/>
        <w:spacing w:line="360" w:lineRule="auto"/>
        <w:ind w:firstLine="448" w:firstLineChars="200"/>
        <w:rPr>
          <w:rFonts w:hint="eastAsia" w:ascii="宋体" w:hAnsi="宋体" w:eastAsia="宋体" w:cs="宋体"/>
          <w:color w:val="auto"/>
          <w:spacing w:val="-17"/>
          <w:sz w:val="24"/>
          <w:szCs w:val="24"/>
          <w:highlight w:val="none"/>
          <w:u w:val="singl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乙方负责甲方有关人员的培训。培训时间、地点：</w:t>
      </w:r>
      <w:r>
        <w:rPr>
          <w:rFonts w:hint="eastAsia" w:ascii="宋体" w:hAnsi="宋体" w:eastAsia="宋体" w:cs="宋体"/>
          <w:b w:val="0"/>
          <w:bCs/>
          <w:color w:val="auto"/>
          <w:sz w:val="24"/>
          <w:szCs w:val="24"/>
          <w:highlight w:val="none"/>
          <w:u w:val="single"/>
        </w:rPr>
        <w:t>如有，见《售后服务承诺书》</w:t>
      </w:r>
      <w:r>
        <w:rPr>
          <w:rFonts w:hint="eastAsia" w:ascii="宋体" w:hAnsi="宋体" w:eastAsia="宋体" w:cs="宋体"/>
          <w:b w:val="0"/>
          <w:bCs/>
          <w:color w:val="auto"/>
          <w:spacing w:val="-17"/>
          <w:sz w:val="24"/>
          <w:szCs w:val="24"/>
          <w:highlight w:val="none"/>
          <w:u w:val="single"/>
        </w:rPr>
        <w:t>。</w:t>
      </w:r>
    </w:p>
    <w:p w14:paraId="407C0B89">
      <w:pPr>
        <w:spacing w:line="360" w:lineRule="auto"/>
        <w:outlineLvl w:val="9"/>
        <w:rPr>
          <w:rFonts w:hint="eastAsia" w:ascii="宋体" w:hAnsi="宋体" w:eastAsia="宋体" w:cs="宋体"/>
          <w:b/>
          <w:bCs/>
          <w:color w:val="auto"/>
          <w:sz w:val="24"/>
          <w:highlight w:val="none"/>
        </w:rPr>
      </w:pPr>
      <w:bookmarkStart w:id="160" w:name="_Toc11255"/>
      <w:r>
        <w:rPr>
          <w:rFonts w:hint="eastAsia" w:ascii="宋体" w:hAnsi="宋体" w:eastAsia="宋体" w:cs="宋体"/>
          <w:b/>
          <w:bCs/>
          <w:color w:val="auto"/>
          <w:sz w:val="24"/>
          <w:highlight w:val="none"/>
        </w:rPr>
        <w:t>第七条</w:t>
      </w:r>
      <w:r>
        <w:rPr>
          <w:rFonts w:hint="eastAsia" w:ascii="宋体" w:hAnsi="宋体" w:eastAsia="宋体" w:cs="宋体"/>
          <w:b/>
          <w:bCs/>
          <w:color w:val="auto"/>
          <w:sz w:val="24"/>
          <w:highlight w:val="none"/>
        </w:rPr>
        <w:tab/>
      </w:r>
      <w:r>
        <w:rPr>
          <w:rFonts w:hint="eastAsia" w:ascii="宋体" w:hAnsi="宋体" w:eastAsia="宋体" w:cs="宋体"/>
          <w:b/>
          <w:bCs/>
          <w:color w:val="auto"/>
          <w:sz w:val="24"/>
          <w:highlight w:val="none"/>
        </w:rPr>
        <w:t>售后服务、质保期</w:t>
      </w:r>
      <w:bookmarkEnd w:id="160"/>
    </w:p>
    <w:p w14:paraId="71D34CFA">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乙方应按照国家有关法律法规和“三包”规定以及招标文件和本合同所附的《售后服务承诺书》，为甲方提供售后服务。</w:t>
      </w:r>
    </w:p>
    <w:p w14:paraId="523CF43A">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货物质保期：设备质保</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个月。（如投标文件质保期优于招标文件要求期限，按照投标文件签署）</w:t>
      </w:r>
    </w:p>
    <w:p w14:paraId="07723402">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乙方提供的服务承诺和售后服务及保修期责任等其它具体约定事项。（见合同附件）</w:t>
      </w:r>
    </w:p>
    <w:p w14:paraId="4341E986">
      <w:pPr>
        <w:pStyle w:val="2"/>
        <w:spacing w:line="360" w:lineRule="auto"/>
        <w:outlineLvl w:val="9"/>
        <w:rPr>
          <w:rFonts w:hint="eastAsia" w:ascii="宋体" w:hAnsi="宋体" w:eastAsia="宋体" w:cs="宋体"/>
          <w:bCs/>
          <w:color w:val="auto"/>
          <w:sz w:val="24"/>
          <w:szCs w:val="24"/>
          <w:highlight w:val="none"/>
        </w:rPr>
      </w:pPr>
      <w:bookmarkStart w:id="161" w:name="_Toc31051"/>
      <w:r>
        <w:rPr>
          <w:rFonts w:hint="eastAsia" w:ascii="宋体" w:hAnsi="宋体" w:eastAsia="宋体" w:cs="宋体"/>
          <w:bCs/>
          <w:color w:val="auto"/>
          <w:sz w:val="24"/>
          <w:szCs w:val="24"/>
          <w:highlight w:val="none"/>
        </w:rPr>
        <w:t>第八条 付款方式</w:t>
      </w:r>
      <w:bookmarkEnd w:id="161"/>
    </w:p>
    <w:p w14:paraId="52A88761">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当采购数量与实际使用数量不一致时，乙方应根据实际使用量供货，合同的最终结算金额按实际使用量乘以成交单价进行计算。</w:t>
      </w:r>
    </w:p>
    <w:p w14:paraId="265E7BF1">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资金性质：</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 xml:space="preserve">  </w:t>
      </w:r>
    </w:p>
    <w:p w14:paraId="11C58F04">
      <w:pPr>
        <w:pStyle w:val="2"/>
        <w:spacing w:line="360" w:lineRule="auto"/>
        <w:ind w:firstLine="448"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付款方式：</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 xml:space="preserve">  </w:t>
      </w:r>
    </w:p>
    <w:p w14:paraId="630C4459">
      <w:pPr>
        <w:pStyle w:val="2"/>
        <w:spacing w:line="360" w:lineRule="auto"/>
        <w:outlineLvl w:val="9"/>
        <w:rPr>
          <w:rFonts w:hint="eastAsia" w:ascii="宋体" w:hAnsi="宋体" w:eastAsia="宋体" w:cs="宋体"/>
          <w:color w:val="auto"/>
          <w:sz w:val="24"/>
          <w:szCs w:val="24"/>
          <w:highlight w:val="none"/>
          <w:u w:val="single"/>
        </w:rPr>
      </w:pPr>
      <w:bookmarkStart w:id="162" w:name="_Toc5461"/>
      <w:r>
        <w:rPr>
          <w:rFonts w:hint="eastAsia" w:ascii="宋体" w:hAnsi="宋体" w:eastAsia="宋体" w:cs="宋体"/>
          <w:bCs/>
          <w:color w:val="auto"/>
          <w:sz w:val="24"/>
          <w:szCs w:val="24"/>
          <w:highlight w:val="none"/>
        </w:rPr>
        <w:t>第九条</w:t>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履约保证金</w:t>
      </w:r>
      <w:bookmarkEnd w:id="162"/>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8A6F780">
      <w:pPr>
        <w:spacing w:line="360" w:lineRule="auto"/>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
          <w:bCs/>
          <w:color w:val="auto"/>
          <w:sz w:val="24"/>
          <w:highlight w:val="none"/>
        </w:rPr>
        <w:tab/>
      </w:r>
      <w:r>
        <w:rPr>
          <w:rFonts w:hint="eastAsia" w:ascii="宋体" w:hAnsi="宋体" w:eastAsia="宋体" w:cs="宋体"/>
          <w:b/>
          <w:bCs/>
          <w:color w:val="auto"/>
          <w:sz w:val="24"/>
          <w:highlight w:val="none"/>
        </w:rPr>
        <w:t>税费</w:t>
      </w:r>
    </w:p>
    <w:p w14:paraId="6871DC4A">
      <w:pPr>
        <w:spacing w:line="360" w:lineRule="auto"/>
        <w:ind w:firstLine="480" w:firstLineChars="200"/>
        <w:rPr>
          <w:rFonts w:hint="eastAsia" w:ascii="宋体" w:hAnsi="宋体" w:eastAsia="宋体" w:cs="宋体"/>
          <w:color w:val="auto"/>
          <w:spacing w:val="-17"/>
          <w:sz w:val="24"/>
          <w:highlight w:val="none"/>
        </w:rPr>
      </w:pPr>
      <w:r>
        <w:rPr>
          <w:rFonts w:hint="eastAsia" w:ascii="宋体" w:hAnsi="宋体" w:eastAsia="宋体" w:cs="宋体"/>
          <w:color w:val="auto"/>
          <w:sz w:val="24"/>
          <w:highlight w:val="none"/>
        </w:rPr>
        <w:t>本合同执行中相关的一切税费均由乙方负担</w:t>
      </w:r>
      <w:r>
        <w:rPr>
          <w:rFonts w:hint="eastAsia" w:ascii="宋体" w:hAnsi="宋体" w:eastAsia="宋体" w:cs="宋体"/>
          <w:color w:val="auto"/>
          <w:spacing w:val="-17"/>
          <w:sz w:val="24"/>
          <w:highlight w:val="none"/>
        </w:rPr>
        <w:t>。</w:t>
      </w:r>
    </w:p>
    <w:p w14:paraId="731CE736">
      <w:pPr>
        <w:spacing w:line="360" w:lineRule="auto"/>
        <w:outlineLvl w:val="9"/>
        <w:rPr>
          <w:rFonts w:hint="eastAsia" w:ascii="宋体" w:hAnsi="宋体" w:eastAsia="宋体" w:cs="宋体"/>
          <w:b/>
          <w:bCs/>
          <w:color w:val="auto"/>
          <w:sz w:val="24"/>
          <w:highlight w:val="none"/>
        </w:rPr>
      </w:pPr>
      <w:bookmarkStart w:id="163" w:name="_Toc14418"/>
      <w:r>
        <w:rPr>
          <w:rFonts w:hint="eastAsia" w:ascii="宋体" w:hAnsi="宋体" w:eastAsia="宋体" w:cs="宋体"/>
          <w:b/>
          <w:bCs/>
          <w:color w:val="auto"/>
          <w:sz w:val="24"/>
          <w:highlight w:val="none"/>
        </w:rPr>
        <w:t>第十一条 质量保证及售后服务</w:t>
      </w:r>
      <w:bookmarkEnd w:id="163"/>
    </w:p>
    <w:p w14:paraId="36DEE4C6">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乙方应按采购文件规定的货物性能、技术要求、质量标准向甲方提供未经使用的全新产品。不符合要求的，甲方可根据实际情况要求乙方按以下办法处理：</w:t>
      </w:r>
    </w:p>
    <w:p w14:paraId="1FFB57F9">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（1）更换：由乙方承担所发生的全部费用。</w:t>
      </w:r>
    </w:p>
    <w:p w14:paraId="086AAF59">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（2）贬值处理：由甲乙双方合议定价。</w:t>
      </w:r>
    </w:p>
    <w:p w14:paraId="7FD58C2C">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（3）退货处理：乙方应退还甲方支付的合同款，同时应承担该货物的直接费用（运输、保险、检验、货款利息及银行手续费等）。</w:t>
      </w:r>
    </w:p>
    <w:p w14:paraId="3E6F5F95">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如在使用过程中发生质量问题，乙方在接到甲方通知后在 按乙方售后服务承诺    到达甲方现场处理。</w:t>
      </w:r>
    </w:p>
    <w:p w14:paraId="51B2AAAC">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在质保期内，乙方应对货物出现的质量及安全问题负责处理解决并承担一切费用。</w:t>
      </w:r>
    </w:p>
    <w:p w14:paraId="4E4A76A1">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货物因人为因素出现的故障不在免费保修范围内。超过保修期的机器设备，终生维修，维修时只收部件成本费。</w:t>
      </w:r>
    </w:p>
    <w:p w14:paraId="19B5D8C8">
      <w:pPr>
        <w:spacing w:line="360" w:lineRule="auto"/>
        <w:outlineLvl w:val="9"/>
        <w:rPr>
          <w:rFonts w:hint="eastAsia" w:ascii="宋体" w:hAnsi="宋体" w:eastAsia="宋体" w:cs="宋体"/>
          <w:bCs/>
          <w:color w:val="auto"/>
          <w:sz w:val="24"/>
          <w:szCs w:val="24"/>
          <w:highlight w:val="none"/>
        </w:rPr>
      </w:pPr>
      <w:bookmarkStart w:id="164" w:name="_Toc8315"/>
      <w:r>
        <w:rPr>
          <w:rFonts w:hint="eastAsia" w:ascii="宋体" w:hAnsi="宋体" w:eastAsia="宋体" w:cs="宋体"/>
          <w:b/>
          <w:bCs/>
          <w:color w:val="auto"/>
          <w:sz w:val="24"/>
          <w:highlight w:val="none"/>
        </w:rPr>
        <w:t>第十二条 违约责任</w:t>
      </w:r>
      <w:bookmarkEnd w:id="164"/>
    </w:p>
    <w:p w14:paraId="704A1F69">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所提供的货物规格、技术标准、材料等质量不合格的，如甲方同意更换的，乙方应及时更换，乙方未在甲方指定时限内更换的，视为逾期交货；因质量问题甲方不同意接收或特殊情况甲方同意接收的，乙方应向甲方支付违约货款额</w:t>
      </w:r>
      <w:r>
        <w:rPr>
          <w:rFonts w:hint="eastAsia" w:ascii="宋体" w:hAnsi="宋体" w:eastAsia="宋体" w:cs="宋体"/>
          <w:b w:val="0"/>
          <w:bCs/>
          <w:color w:val="auto"/>
          <w:sz w:val="24"/>
          <w:szCs w:val="24"/>
          <w:highlight w:val="none"/>
          <w:u w:val="single"/>
        </w:rPr>
        <w:t xml:space="preserve"> 5%</w:t>
      </w:r>
      <w:r>
        <w:rPr>
          <w:rFonts w:hint="eastAsia" w:ascii="宋体" w:hAnsi="宋体" w:eastAsia="宋体" w:cs="宋体"/>
          <w:b w:val="0"/>
          <w:bCs/>
          <w:color w:val="auto"/>
          <w:sz w:val="24"/>
          <w:szCs w:val="24"/>
          <w:highlight w:val="none"/>
        </w:rPr>
        <w:t>违约金并赔偿甲方经济损失。</w:t>
      </w:r>
    </w:p>
    <w:p w14:paraId="66A3E62B">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乙方提供的货物如侵犯了第三方合法权益而引发的任何纠纷或诉讼，均由乙方负责交涉并承担全部责任。</w:t>
      </w:r>
    </w:p>
    <w:p w14:paraId="38C1F688">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甲方无故延期接收货物、乙方逾期交货的，每天向对方偿付违约货款额</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%违约金， 但违约金累计不得超过违约货款额</w:t>
      </w:r>
      <w:r>
        <w:rPr>
          <w:rFonts w:hint="eastAsia" w:ascii="宋体" w:hAnsi="宋体" w:eastAsia="宋体" w:cs="宋体"/>
          <w:b w:val="0"/>
          <w:bCs/>
          <w:color w:val="auto"/>
          <w:sz w:val="24"/>
          <w:szCs w:val="24"/>
          <w:highlight w:val="none"/>
          <w:u w:val="single"/>
        </w:rPr>
        <w:t>5%</w:t>
      </w:r>
      <w:r>
        <w:rPr>
          <w:rFonts w:hint="eastAsia" w:ascii="宋体" w:hAnsi="宋体" w:eastAsia="宋体" w:cs="宋体"/>
          <w:b w:val="0"/>
          <w:bCs/>
          <w:color w:val="auto"/>
          <w:sz w:val="24"/>
          <w:szCs w:val="24"/>
          <w:highlight w:val="none"/>
        </w:rPr>
        <w:t>，超过</w:t>
      </w:r>
      <w:r>
        <w:rPr>
          <w:rFonts w:hint="eastAsia" w:ascii="宋体" w:hAnsi="宋体" w:eastAsia="宋体" w:cs="宋体"/>
          <w:b w:val="0"/>
          <w:bCs/>
          <w:color w:val="auto"/>
          <w:sz w:val="24"/>
          <w:szCs w:val="24"/>
          <w:highlight w:val="none"/>
          <w:u w:val="single"/>
        </w:rPr>
        <w:t>30</w:t>
      </w:r>
      <w:r>
        <w:rPr>
          <w:rFonts w:hint="eastAsia" w:ascii="宋体" w:hAnsi="宋体" w:eastAsia="宋体" w:cs="宋体"/>
          <w:b w:val="0"/>
          <w:bCs/>
          <w:color w:val="auto"/>
          <w:sz w:val="24"/>
          <w:szCs w:val="24"/>
          <w:highlight w:val="none"/>
        </w:rPr>
        <w:t>天对方有权解除合同，违约方承担因此给对方造成经济损失；甲方延期付货款的，每天向乙方偿付延期货款额</w:t>
      </w:r>
      <w:r>
        <w:rPr>
          <w:rFonts w:hint="eastAsia" w:ascii="宋体" w:hAnsi="宋体" w:eastAsia="宋体" w:cs="宋体"/>
          <w:b w:val="0"/>
          <w:bCs/>
          <w:color w:val="auto"/>
          <w:sz w:val="24"/>
          <w:szCs w:val="24"/>
          <w:highlight w:val="none"/>
          <w:u w:val="single"/>
        </w:rPr>
        <w:t>3‰</w:t>
      </w:r>
      <w:r>
        <w:rPr>
          <w:rFonts w:hint="eastAsia" w:ascii="宋体" w:hAnsi="宋体" w:eastAsia="宋体" w:cs="宋体"/>
          <w:b w:val="0"/>
          <w:bCs/>
          <w:color w:val="auto"/>
          <w:sz w:val="24"/>
          <w:szCs w:val="24"/>
          <w:highlight w:val="none"/>
        </w:rPr>
        <w:t>滞纳金，但滞纳金累计不得超过延期货款额</w:t>
      </w:r>
      <w:r>
        <w:rPr>
          <w:rFonts w:hint="eastAsia" w:ascii="宋体" w:hAnsi="宋体" w:eastAsia="宋体" w:cs="宋体"/>
          <w:b w:val="0"/>
          <w:bCs/>
          <w:color w:val="auto"/>
          <w:sz w:val="24"/>
          <w:szCs w:val="24"/>
          <w:highlight w:val="none"/>
          <w:u w:val="single"/>
        </w:rPr>
        <w:t>5%</w:t>
      </w:r>
      <w:r>
        <w:rPr>
          <w:rFonts w:hint="eastAsia" w:ascii="宋体" w:hAnsi="宋体" w:eastAsia="宋体" w:cs="宋体"/>
          <w:b w:val="0"/>
          <w:bCs/>
          <w:color w:val="auto"/>
          <w:sz w:val="24"/>
          <w:szCs w:val="24"/>
          <w:highlight w:val="none"/>
        </w:rPr>
        <w:t>。</w:t>
      </w:r>
    </w:p>
    <w:p w14:paraId="041BA35D">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乙方未按本合同和投标文件中规定的服务承诺提供售后服务的，乙方应按本合同合计金额5%向甲方支付违约金并赔偿甲方经济损失。</w:t>
      </w:r>
    </w:p>
    <w:p w14:paraId="3356E61A">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乙方提供的货物在质保期内，因设计、工艺或材料的缺陷和其它售后服务质量等问题的，由乙方负责。</w:t>
      </w:r>
    </w:p>
    <w:p w14:paraId="27C63994">
      <w:pPr>
        <w:pStyle w:val="2"/>
        <w:spacing w:line="360" w:lineRule="auto"/>
        <w:ind w:firstLine="448"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6</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其它违约行为按违约货款额5%收取违约金并赔偿经济损失。</w:t>
      </w:r>
    </w:p>
    <w:p w14:paraId="7A9BBD33">
      <w:pPr>
        <w:spacing w:line="360" w:lineRule="auto"/>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第十三条 不可抗力事件处理</w:t>
      </w:r>
    </w:p>
    <w:p w14:paraId="43B656F2">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在合同有效期内，任何一方因不可抗力事件导致不能履行合同，则合同履行期可延长。</w:t>
      </w:r>
    </w:p>
    <w:p w14:paraId="453260D9">
      <w:pPr>
        <w:pStyle w:val="2"/>
        <w:spacing w:line="360" w:lineRule="auto"/>
        <w:ind w:firstLine="448"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不可抗力事件发生后，应立即通知对方，并寄送有关权威机构出具的证明。</w:t>
      </w:r>
    </w:p>
    <w:p w14:paraId="38BA43FE">
      <w:pPr>
        <w:pStyle w:val="2"/>
        <w:spacing w:line="360" w:lineRule="auto"/>
        <w:ind w:firstLine="448"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不可抗力事件延续六十天以上，双方应通过友好协商，确定是否继续履行合同。</w:t>
      </w:r>
    </w:p>
    <w:p w14:paraId="5CCF34F9">
      <w:pPr>
        <w:spacing w:line="360" w:lineRule="auto"/>
        <w:outlineLvl w:val="9"/>
        <w:rPr>
          <w:rFonts w:hint="eastAsia" w:ascii="宋体" w:hAnsi="宋体" w:eastAsia="宋体" w:cs="宋体"/>
          <w:b/>
          <w:bCs/>
          <w:color w:val="auto"/>
          <w:sz w:val="24"/>
          <w:highlight w:val="none"/>
        </w:rPr>
      </w:pPr>
      <w:bookmarkStart w:id="165" w:name="_Toc4435"/>
      <w:r>
        <w:rPr>
          <w:rFonts w:hint="eastAsia" w:ascii="宋体" w:hAnsi="宋体" w:eastAsia="宋体" w:cs="宋体"/>
          <w:b/>
          <w:bCs/>
          <w:color w:val="auto"/>
          <w:sz w:val="24"/>
          <w:highlight w:val="none"/>
        </w:rPr>
        <w:t>第十四条 合同争议解决</w:t>
      </w:r>
      <w:bookmarkEnd w:id="165"/>
    </w:p>
    <w:p w14:paraId="14301C29">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因货物质量问题发生争议的，甲方有权委托具有资质的质量检测机构对货物质量进行鉴定。货物符合标准的，鉴定费由甲方承担；货物不符合标准的，鉴定费由乙方承担。</w:t>
      </w:r>
    </w:p>
    <w:p w14:paraId="14B5135C">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因履行本合同引起的或与本合同有关的争议，甲乙双方应首先通过友好协商解决，如果协商不能解决，可向甲方所在地人民法院提起诉讼。</w:t>
      </w:r>
    </w:p>
    <w:p w14:paraId="01B46853">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诉讼期间，就双方无争议部分应继续履行。</w:t>
      </w:r>
    </w:p>
    <w:p w14:paraId="0112D89A">
      <w:pPr>
        <w:spacing w:line="360" w:lineRule="auto"/>
        <w:outlineLvl w:val="9"/>
        <w:rPr>
          <w:rFonts w:hint="eastAsia" w:ascii="宋体" w:hAnsi="宋体" w:eastAsia="宋体" w:cs="宋体"/>
          <w:b/>
          <w:bCs/>
          <w:color w:val="auto"/>
          <w:sz w:val="24"/>
          <w:highlight w:val="none"/>
        </w:rPr>
      </w:pPr>
      <w:bookmarkStart w:id="166" w:name="_Toc11460"/>
      <w:r>
        <w:rPr>
          <w:rFonts w:hint="eastAsia" w:ascii="宋体" w:hAnsi="宋体" w:eastAsia="宋体" w:cs="宋体"/>
          <w:b/>
          <w:bCs/>
          <w:color w:val="auto"/>
          <w:sz w:val="24"/>
          <w:highlight w:val="none"/>
        </w:rPr>
        <w:t>第十五条 合同的变更、终止与转让</w:t>
      </w:r>
      <w:bookmarkEnd w:id="166"/>
    </w:p>
    <w:p w14:paraId="4B0C3203">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除《中华人民共和国政府采购法》第五十条、《中华人民共和国民法典》第五百六十二、五百六十三条规定的情形外，本合同一经签订，甲乙双方不得擅自变更、中止或终止。</w:t>
      </w:r>
    </w:p>
    <w:p w14:paraId="2DE7720E">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乙方不得擅自转让其应履行的合同义务。</w:t>
      </w:r>
    </w:p>
    <w:p w14:paraId="230F4912">
      <w:pPr>
        <w:spacing w:line="360" w:lineRule="auto"/>
        <w:outlineLvl w:val="9"/>
        <w:rPr>
          <w:rFonts w:hint="eastAsia" w:ascii="宋体" w:hAnsi="宋体" w:eastAsia="宋体" w:cs="宋体"/>
          <w:b/>
          <w:bCs/>
          <w:color w:val="auto"/>
          <w:sz w:val="24"/>
          <w:highlight w:val="none"/>
        </w:rPr>
      </w:pPr>
      <w:bookmarkStart w:id="167" w:name="_Toc4786"/>
      <w:r>
        <w:rPr>
          <w:rFonts w:hint="eastAsia" w:ascii="宋体" w:hAnsi="宋体" w:eastAsia="宋体" w:cs="宋体"/>
          <w:b/>
          <w:bCs/>
          <w:color w:val="auto"/>
          <w:sz w:val="24"/>
          <w:highlight w:val="none"/>
        </w:rPr>
        <w:t>第十六条 合同组成及解释</w:t>
      </w:r>
      <w:bookmarkEnd w:id="167"/>
    </w:p>
    <w:p w14:paraId="1C73040B">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的采购文件（含采购答疑）、符合采购要求的竞标文件、甲方确认采购要求、本合同履行过程中双方签章确认的协议或其他文件均为本合同的组成部分，若合同组成文件之间发生矛盾的，以下排列顺序为合同组成文件之间的优先解释顺序：</w:t>
      </w:r>
    </w:p>
    <w:p w14:paraId="036EDEEF">
      <w:pPr>
        <w:pStyle w:val="7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（1）</w:t>
      </w:r>
      <w:r>
        <w:rPr>
          <w:rFonts w:hint="eastAsia" w:ascii="宋体" w:hAnsi="宋体" w:eastAsia="宋体" w:cs="宋体"/>
          <w:color w:val="auto"/>
          <w:sz w:val="24"/>
          <w:szCs w:val="24"/>
          <w:highlight w:val="none"/>
        </w:rPr>
        <w:t>合同履行过程中双方签章确认的协议或其他文件；</w:t>
      </w:r>
    </w:p>
    <w:p w14:paraId="4F6B2E7F">
      <w:pPr>
        <w:pStyle w:val="7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（2）</w:t>
      </w:r>
      <w:r>
        <w:rPr>
          <w:rFonts w:hint="eastAsia" w:ascii="宋体" w:hAnsi="宋体" w:eastAsia="宋体" w:cs="宋体"/>
          <w:color w:val="auto"/>
          <w:sz w:val="24"/>
          <w:szCs w:val="24"/>
          <w:highlight w:val="none"/>
        </w:rPr>
        <w:t>甲方确认的采购要求；</w:t>
      </w:r>
    </w:p>
    <w:p w14:paraId="5DE39667">
      <w:pPr>
        <w:pStyle w:val="7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（3）</w:t>
      </w:r>
      <w:r>
        <w:rPr>
          <w:rFonts w:hint="eastAsia" w:ascii="宋体" w:hAnsi="宋体" w:eastAsia="宋体" w:cs="宋体"/>
          <w:color w:val="auto"/>
          <w:sz w:val="24"/>
          <w:szCs w:val="24"/>
          <w:highlight w:val="none"/>
        </w:rPr>
        <w:t>合同附件；</w:t>
      </w:r>
    </w:p>
    <w:p w14:paraId="7F0DC634">
      <w:pPr>
        <w:pStyle w:val="7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（4）</w:t>
      </w:r>
      <w:r>
        <w:rPr>
          <w:rFonts w:hint="eastAsia" w:ascii="宋体" w:hAnsi="宋体" w:eastAsia="宋体" w:cs="宋体"/>
          <w:color w:val="auto"/>
          <w:sz w:val="24"/>
          <w:szCs w:val="24"/>
          <w:highlight w:val="none"/>
        </w:rPr>
        <w:t>中标或成交通知书；</w:t>
      </w:r>
    </w:p>
    <w:p w14:paraId="4E79C275">
      <w:pPr>
        <w:pStyle w:val="7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（5）</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文件(含答疑)；</w:t>
      </w:r>
    </w:p>
    <w:p w14:paraId="3025EF3A">
      <w:pPr>
        <w:pStyle w:val="7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（6）</w:t>
      </w:r>
      <w:r>
        <w:rPr>
          <w:rFonts w:hint="eastAsia" w:ascii="宋体" w:hAnsi="宋体" w:eastAsia="宋体" w:cs="宋体"/>
          <w:color w:val="auto"/>
          <w:sz w:val="24"/>
          <w:szCs w:val="24"/>
          <w:highlight w:val="none"/>
          <w:lang w:val="en-US" w:eastAsia="zh-CN"/>
        </w:rPr>
        <w:t>投</w:t>
      </w:r>
      <w:r>
        <w:rPr>
          <w:rFonts w:hint="eastAsia" w:ascii="宋体" w:hAnsi="宋体" w:eastAsia="宋体" w:cs="宋体"/>
          <w:color w:val="auto"/>
          <w:sz w:val="24"/>
          <w:szCs w:val="24"/>
          <w:highlight w:val="none"/>
        </w:rPr>
        <w:t>标文件；</w:t>
      </w:r>
    </w:p>
    <w:p w14:paraId="3A574D0D">
      <w:pPr>
        <w:pStyle w:val="78"/>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（7）</w:t>
      </w:r>
      <w:r>
        <w:rPr>
          <w:rFonts w:hint="eastAsia" w:ascii="宋体" w:hAnsi="宋体" w:eastAsia="宋体" w:cs="宋体"/>
          <w:color w:val="auto"/>
          <w:sz w:val="24"/>
          <w:szCs w:val="24"/>
          <w:highlight w:val="none"/>
        </w:rPr>
        <w:t>标准、规范及有关技术文件；</w:t>
      </w:r>
    </w:p>
    <w:p w14:paraId="4233C26A">
      <w:pPr>
        <w:pStyle w:val="78"/>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bidi="zh-CN"/>
        </w:rPr>
        <w:t>（8）</w:t>
      </w:r>
      <w:r>
        <w:rPr>
          <w:rFonts w:hint="eastAsia" w:ascii="宋体" w:hAnsi="宋体" w:eastAsia="宋体" w:cs="宋体"/>
          <w:color w:val="auto"/>
          <w:sz w:val="24"/>
          <w:szCs w:val="24"/>
          <w:highlight w:val="none"/>
        </w:rPr>
        <w:t>其他合同文件。</w:t>
      </w:r>
    </w:p>
    <w:p w14:paraId="56B63C6A">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前述文件应认为是互为补充和解释的，但如有互相矛盾之处，以前述文件所列顺序作为其优先解释的顺序，但如果某一文件对甲方权利维护更有利或对设计工作有更高、更严格要求的以该文件内容为准。</w:t>
      </w:r>
    </w:p>
    <w:p w14:paraId="28389B88">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前述各项文件包括双方就该合同组成文件所作出的补充和修改，属于同一项文件的，应以最新签署的为准。</w:t>
      </w:r>
    </w:p>
    <w:p w14:paraId="1EB36EE6">
      <w:pPr>
        <w:spacing w:line="360" w:lineRule="auto"/>
        <w:outlineLvl w:val="9"/>
        <w:rPr>
          <w:rFonts w:hint="eastAsia" w:ascii="宋体" w:hAnsi="宋体" w:eastAsia="宋体" w:cs="宋体"/>
          <w:b/>
          <w:bCs/>
          <w:color w:val="auto"/>
          <w:sz w:val="24"/>
          <w:highlight w:val="none"/>
        </w:rPr>
      </w:pPr>
      <w:bookmarkStart w:id="168" w:name="_Toc29080"/>
      <w:r>
        <w:rPr>
          <w:rFonts w:hint="eastAsia" w:ascii="宋体" w:hAnsi="宋体" w:eastAsia="宋体" w:cs="宋体"/>
          <w:b/>
          <w:bCs/>
          <w:color w:val="auto"/>
          <w:sz w:val="24"/>
          <w:highlight w:val="none"/>
        </w:rPr>
        <w:t>第十七条 通知与送达</w:t>
      </w:r>
      <w:bookmarkEnd w:id="168"/>
    </w:p>
    <w:p w14:paraId="64B233C3">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本协议项下的合同一方对另外一方的任何通知或请求，应当发送至接收方在合同中约定的地址、联系人和通信终端。一方当事人变更名称、地址、联系人或通信终端等信息的，应当在变更后 3 日内及时书面通知对方当事人，对方当事人实际收到变更通知前的送达仍为有效送达，电子送达与书面送达具有同等法律效力。</w:t>
      </w:r>
    </w:p>
    <w:p w14:paraId="2378A140">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任何一方当事人向对/他方所发出的通知或请求送达时间：</w:t>
      </w:r>
    </w:p>
    <w:p w14:paraId="65CECCD2">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（1）如果是传真，则在发送当日视为送达；</w:t>
      </w:r>
    </w:p>
    <w:p w14:paraId="49947373">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（2）如果是短信/微信/电子邮件，自电子文件内容在发送方正确填写地址且未被系统退回的情况下，进入对方数据电文接收系统当日视为送达。</w:t>
      </w:r>
    </w:p>
    <w:p w14:paraId="5F1DD07A">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（3）如果是信函，在挂号信交邮后第三日视为送达；</w:t>
      </w:r>
    </w:p>
    <w:p w14:paraId="15D3C006">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（4）如果是派人专程送达，则在收件人签收之日视为收到；</w:t>
      </w:r>
    </w:p>
    <w:p w14:paraId="777A68A3">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（5）如果同时使用几种通知方式的，以其中较快到达接收方者为准。</w:t>
      </w:r>
    </w:p>
    <w:p w14:paraId="2E0D39D7">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（6）若送达日为非工作日,则视为在下一工作日送达。</w:t>
      </w:r>
    </w:p>
    <w:p w14:paraId="4C70B410">
      <w:pPr>
        <w:pStyle w:val="78"/>
        <w:spacing w:line="360" w:lineRule="auto"/>
        <w:ind w:firstLine="480"/>
        <w:rPr>
          <w:rFonts w:hint="eastAsia" w:ascii="宋体" w:hAnsi="宋体" w:eastAsia="宋体" w:cs="宋体"/>
          <w:color w:val="auto"/>
          <w:spacing w:val="-14"/>
          <w:sz w:val="24"/>
          <w:szCs w:val="24"/>
          <w:highlight w:val="none"/>
        </w:rPr>
      </w:pPr>
      <w:r>
        <w:rPr>
          <w:rFonts w:hint="eastAsia" w:ascii="宋体" w:hAnsi="宋体" w:eastAsia="宋体" w:cs="宋体"/>
          <w:color w:val="auto"/>
          <w:sz w:val="24"/>
          <w:szCs w:val="24"/>
          <w:highlight w:val="none"/>
        </w:rPr>
        <w:t>本合同约定的地址、联系人及电子通信终端等信息亦为双方工作联系往来、法律文书及争议解决时人民法院和/或仲裁机构的法律文书送达地址。人民法院和/或仲裁机构的诉讼文</w:t>
      </w:r>
      <w:r>
        <w:rPr>
          <w:rFonts w:hint="eastAsia" w:ascii="宋体" w:hAnsi="宋体" w:eastAsia="宋体" w:cs="宋体"/>
          <w:color w:val="auto"/>
          <w:spacing w:val="-27"/>
          <w:sz w:val="24"/>
          <w:szCs w:val="24"/>
          <w:highlight w:val="none"/>
        </w:rPr>
        <w:t>书</w:t>
      </w:r>
      <w:r>
        <w:rPr>
          <w:rFonts w:hint="eastAsia" w:ascii="宋体" w:hAnsi="宋体" w:eastAsia="宋体" w:cs="宋体"/>
          <w:color w:val="auto"/>
          <w:sz w:val="24"/>
          <w:szCs w:val="24"/>
          <w:highlight w:val="none"/>
        </w:rPr>
        <w:t>（含裁判文书</w:t>
      </w:r>
      <w:r>
        <w:rPr>
          <w:rFonts w:hint="eastAsia" w:ascii="宋体" w:hAnsi="宋体" w:eastAsia="宋体" w:cs="宋体"/>
          <w:color w:val="auto"/>
          <w:spacing w:val="-27"/>
          <w:sz w:val="24"/>
          <w:szCs w:val="24"/>
          <w:highlight w:val="none"/>
        </w:rPr>
        <w:t>）</w:t>
      </w:r>
      <w:r>
        <w:rPr>
          <w:rFonts w:hint="eastAsia" w:ascii="宋体" w:hAnsi="宋体" w:eastAsia="宋体" w:cs="宋体"/>
          <w:color w:val="auto"/>
          <w:sz w:val="24"/>
          <w:szCs w:val="24"/>
          <w:highlight w:val="none"/>
        </w:rPr>
        <w:t>向任何合同任何一方当事人的上述地</w:t>
      </w:r>
      <w:r>
        <w:rPr>
          <w:rFonts w:hint="eastAsia" w:ascii="宋体" w:hAnsi="宋体" w:eastAsia="宋体" w:cs="宋体"/>
          <w:color w:val="auto"/>
          <w:spacing w:val="-14"/>
          <w:sz w:val="24"/>
          <w:szCs w:val="24"/>
          <w:highlight w:val="none"/>
        </w:rPr>
        <w:t>址和/或工商登记公示地址（居民身份证登记地址）送达的，视为有效送达。当事人对电子通信终端的联系送达适用于争议解决时的送达。</w:t>
      </w:r>
    </w:p>
    <w:p w14:paraId="1AB8A42E">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合同送达条款与争议解决条款均为独立条款，不受合同整体或其他条款的效力的影响。</w:t>
      </w:r>
    </w:p>
    <w:p w14:paraId="387F2E6F">
      <w:pPr>
        <w:spacing w:line="360" w:lineRule="auto"/>
        <w:outlineLvl w:val="9"/>
        <w:rPr>
          <w:rFonts w:hint="eastAsia" w:ascii="宋体" w:hAnsi="宋体" w:eastAsia="宋体" w:cs="宋体"/>
          <w:b/>
          <w:bCs/>
          <w:color w:val="auto"/>
          <w:sz w:val="24"/>
          <w:highlight w:val="none"/>
        </w:rPr>
      </w:pPr>
      <w:bookmarkStart w:id="169" w:name="_Toc13954"/>
      <w:r>
        <w:rPr>
          <w:rFonts w:hint="eastAsia" w:ascii="宋体" w:hAnsi="宋体" w:eastAsia="宋体" w:cs="宋体"/>
          <w:b/>
          <w:bCs/>
          <w:color w:val="auto"/>
          <w:sz w:val="24"/>
          <w:highlight w:val="none"/>
        </w:rPr>
        <w:t>第十八条 合同生效及其它</w:t>
      </w:r>
      <w:bookmarkEnd w:id="169"/>
    </w:p>
    <w:p w14:paraId="02253B3C">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合同经双方法定代表人或被授权代表签字并加盖单位公章后生效。</w:t>
      </w:r>
    </w:p>
    <w:p w14:paraId="695E1747">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合同执行中涉及采购资金和采购内容修改或补充的，须经财政部门审批，并签书面补充协议报财政部门备案，方可作为主合同不可分割的一部分。</w:t>
      </w:r>
    </w:p>
    <w:p w14:paraId="59AFFE9F">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本合同未尽事宜，遵照《民法典》有关条文执行。</w:t>
      </w:r>
    </w:p>
    <w:p w14:paraId="4FC805F5">
      <w:pPr>
        <w:pStyle w:val="7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本合同一式四份，具有同等法律效力，采购代理机构一份，甲方二份，乙方一份。</w:t>
      </w:r>
    </w:p>
    <w:p w14:paraId="47996CEF">
      <w:pPr>
        <w:rPr>
          <w:rFonts w:hint="eastAsia" w:ascii="宋体" w:hAnsi="宋体" w:eastAsia="宋体" w:cs="宋体"/>
          <w:color w:val="auto"/>
          <w:sz w:val="24"/>
          <w:highlight w:val="none"/>
        </w:rPr>
      </w:pP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2"/>
        <w:gridCol w:w="4814"/>
      </w:tblGrid>
      <w:tr w14:paraId="7E24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2499" w:type="pct"/>
            <w:vAlign w:val="center"/>
          </w:tcPr>
          <w:p w14:paraId="63F4DA00">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甲方（公章）           </w:t>
            </w:r>
          </w:p>
          <w:p w14:paraId="435C0F49">
            <w:pPr>
              <w:snapToGrid w:val="0"/>
              <w:spacing w:line="360" w:lineRule="auto"/>
              <w:jc w:val="both"/>
              <w:rPr>
                <w:rFonts w:hint="eastAsia" w:ascii="宋体" w:hAnsi="宋体" w:eastAsia="宋体" w:cs="宋体"/>
                <w:color w:val="auto"/>
                <w:sz w:val="24"/>
                <w:highlight w:val="none"/>
              </w:rPr>
            </w:pPr>
          </w:p>
        </w:tc>
        <w:tc>
          <w:tcPr>
            <w:tcW w:w="2500" w:type="pct"/>
            <w:vAlign w:val="center"/>
          </w:tcPr>
          <w:p w14:paraId="3DC342D4">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乙方（公章）              </w:t>
            </w:r>
          </w:p>
          <w:p w14:paraId="06E79AA8">
            <w:pPr>
              <w:snapToGrid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tc>
      </w:tr>
      <w:tr w14:paraId="21DF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vAlign w:val="center"/>
          </w:tcPr>
          <w:p w14:paraId="66842D32">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单位地址：</w:t>
            </w:r>
          </w:p>
        </w:tc>
        <w:tc>
          <w:tcPr>
            <w:tcW w:w="2500" w:type="pct"/>
            <w:vAlign w:val="center"/>
          </w:tcPr>
          <w:p w14:paraId="77C6D4D1">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单位地址：</w:t>
            </w:r>
          </w:p>
        </w:tc>
      </w:tr>
      <w:tr w14:paraId="73B4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tcPr>
          <w:p w14:paraId="0DBBFB66">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2500" w:type="pct"/>
          </w:tcPr>
          <w:p w14:paraId="7FA8398A">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r>
      <w:tr w14:paraId="3CEA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tcPr>
          <w:p w14:paraId="68E97C48">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2500" w:type="pct"/>
          </w:tcPr>
          <w:p w14:paraId="6051CB1E">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r>
      <w:tr w14:paraId="67A5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vAlign w:val="center"/>
          </w:tcPr>
          <w:p w14:paraId="7EB9BB81">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日      期：  年   月   日</w:t>
            </w:r>
          </w:p>
        </w:tc>
        <w:tc>
          <w:tcPr>
            <w:tcW w:w="2500" w:type="pct"/>
            <w:vAlign w:val="center"/>
          </w:tcPr>
          <w:p w14:paraId="365B4CFC">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日      期：  年   月   日</w:t>
            </w:r>
          </w:p>
        </w:tc>
      </w:tr>
      <w:tr w14:paraId="7736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vAlign w:val="center"/>
          </w:tcPr>
          <w:p w14:paraId="452D83F4">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2500" w:type="pct"/>
            <w:vAlign w:val="center"/>
          </w:tcPr>
          <w:p w14:paraId="7E2BF3D7">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1563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vAlign w:val="center"/>
          </w:tcPr>
          <w:p w14:paraId="7F2F3D58">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2500" w:type="pct"/>
            <w:vAlign w:val="center"/>
          </w:tcPr>
          <w:p w14:paraId="5251562C">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r>
      <w:tr w14:paraId="6549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vAlign w:val="center"/>
          </w:tcPr>
          <w:p w14:paraId="2F5F60AB">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500" w:type="pct"/>
            <w:vAlign w:val="center"/>
          </w:tcPr>
          <w:p w14:paraId="790C3B3D">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r>
      <w:tr w14:paraId="17C2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vAlign w:val="center"/>
          </w:tcPr>
          <w:p w14:paraId="4EB635DA">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2500" w:type="pct"/>
            <w:vAlign w:val="center"/>
          </w:tcPr>
          <w:p w14:paraId="3F3CBA45">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r>
      <w:tr w14:paraId="419B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499" w:type="pct"/>
            <w:vAlign w:val="center"/>
          </w:tcPr>
          <w:p w14:paraId="2748BE1C">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500" w:type="pct"/>
            <w:vAlign w:val="center"/>
          </w:tcPr>
          <w:p w14:paraId="2CB1F1F1">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r>
      <w:tr w14:paraId="37EC2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499" w:type="pct"/>
            <w:vAlign w:val="center"/>
          </w:tcPr>
          <w:p w14:paraId="0674DF08">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统一信用代码：</w:t>
            </w:r>
          </w:p>
        </w:tc>
        <w:tc>
          <w:tcPr>
            <w:tcW w:w="2500" w:type="pct"/>
            <w:vAlign w:val="center"/>
          </w:tcPr>
          <w:p w14:paraId="4C9CD6E0">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统一信用代码：</w:t>
            </w:r>
          </w:p>
        </w:tc>
      </w:tr>
    </w:tbl>
    <w:p w14:paraId="7982F9D2">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30B6F86F">
      <w:pPr>
        <w:widowControl/>
        <w:autoSpaceDE w:val="0"/>
        <w:autoSpaceDN w:val="0"/>
        <w:adjustRightInd w:val="0"/>
        <w:snapToGrid w:val="0"/>
        <w:spacing w:line="400" w:lineRule="exact"/>
        <w:jc w:val="center"/>
        <w:textAlignment w:val="baseline"/>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政府采购廉政协议（模板）</w:t>
      </w:r>
    </w:p>
    <w:p w14:paraId="766579A3">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甲方（采购人）:</w:t>
      </w:r>
    </w:p>
    <w:p w14:paraId="2DF84EB6">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乙方（供货人）:</w:t>
      </w:r>
    </w:p>
    <w:p w14:paraId="29F0768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为促进甲乙双方廉洁高效合作，促使甲乙双方工作人员廉洁从业，不断推动党风廉政建设工作，按照国家有关法律法规、廉政规定，经甲乙双方协商一致，自愿签订以下廉政协议。</w:t>
      </w:r>
    </w:p>
    <w:p w14:paraId="090108A5">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第一条：甲乙双方的权利和义务</w:t>
      </w:r>
    </w:p>
    <w:p w14:paraId="07B55A5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（一）严格遵守党和国家有关法律法规及党风廉政建设各项规定。</w:t>
      </w:r>
    </w:p>
    <w:p w14:paraId="5358730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（二）严格履行《中华人民共和国反不正当竞争法》《关于禁止商业贿赂行为的暂行规定》等各项规定，杜绝违法违规行为的发生。</w:t>
      </w:r>
    </w:p>
    <w:p w14:paraId="0340E9AC">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（三）双方的业务活动坚持公开、公平、公正、诚信的原则（除法律认定的商业秘密和协议文件另有规定之外）,严禁损害国家和集体利益，违反法律法规及规章制度。</w:t>
      </w:r>
    </w:p>
    <w:p w14:paraId="6C512C1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（四）发现对方在业务活动中有违反廉政规定和本协议约定的行为时，有及时提醒和督促对方纠正的权利和义务。</w:t>
      </w:r>
    </w:p>
    <w:p w14:paraId="01149E6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（五）发现对方在业务活动中有违反廉政规定和本协议约定的行为时，有权向对方主管部门或有关机构检举、揭发。</w:t>
      </w:r>
    </w:p>
    <w:p w14:paraId="0F0DF3E5">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第二条：甲方在廉政建设方面的义务</w:t>
      </w:r>
    </w:p>
    <w:p w14:paraId="2552523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严格遵守国家政策法令和廉政规定，恪守职业道德，坚持公开、公平、公正原则，对政府采购活动进行规范管理。</w:t>
      </w:r>
    </w:p>
    <w:p w14:paraId="6227D10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甲方工作人员及其家属不得以任何形式或名义索要、接受乙方的红包、礼金、有价证券、礼品和其他馈赠。</w:t>
      </w:r>
    </w:p>
    <w:p w14:paraId="2C8B6DC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甲方工作人员及其家属不得以任何形式或名义接受乙方的请吃、请钓、旅游和各类娱乐消费活动。</w:t>
      </w:r>
    </w:p>
    <w:p w14:paraId="7BFF0DC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甲方应建立健全内部监督机制，对政府采购活动进行全程监督，确保采购活动的公开、透明和合规性。</w:t>
      </w:r>
    </w:p>
    <w:p w14:paraId="02BFBA99">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第三条：乙方在廉政建设方面义务</w:t>
      </w:r>
    </w:p>
    <w:p w14:paraId="1066417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乙方应严格遵守国家法律法规和政府采购的相关规定，坚持公开、公平、公正原则，为甲方提供优质的服务。</w:t>
      </w:r>
    </w:p>
    <w:p w14:paraId="3DE97F4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乙方不得采取任何不正当手段谋取利益，如行贿、受贿、欺诈等。</w:t>
      </w:r>
    </w:p>
    <w:p w14:paraId="41C538A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乙方不得与甲方工作人员进行私下接触，不得向甲方工作人员或其家属提供任何形式的红包、礼金、有价证券、礼品和其他馈赠。</w:t>
      </w:r>
    </w:p>
    <w:p w14:paraId="461B921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乙方承诺严格遵守保密规定，不泄露应予以保密的信息。</w:t>
      </w:r>
    </w:p>
    <w:p w14:paraId="2AC18A3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乙方应建立健全内部管理机制，规范员工行为，确保员工遵守法律法规和职业道德规范。</w:t>
      </w:r>
    </w:p>
    <w:p w14:paraId="5DE09A2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第四条：违约责任</w:t>
      </w:r>
    </w:p>
    <w:p w14:paraId="0C8798A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若甲方工作人员违反本协议规定的廉政责任，甲方将依法依规进行处理，并承担相应的法律责任。</w:t>
      </w:r>
    </w:p>
    <w:p w14:paraId="48F7EC2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若乙方违反本协议规定的廉政责任，依法追究乙方的法律责任。</w:t>
      </w:r>
    </w:p>
    <w:p w14:paraId="6A2B5175">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color w:val="auto"/>
          <w:sz w:val="24"/>
          <w:highlight w:val="none"/>
        </w:rPr>
        <w:t>本协议自双方签字盖章之日起生效，一式两份，甲乙双方各执一份，具有同等法律效力。</w:t>
      </w:r>
    </w:p>
    <w:p w14:paraId="1AE0E5AD">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color w:val="auto"/>
          <w:sz w:val="24"/>
          <w:highlight w:val="none"/>
        </w:rPr>
        <w:t>本协议未尽事宜，双方可另行协商补充。</w:t>
      </w:r>
    </w:p>
    <w:tbl>
      <w:tblPr>
        <w:tblStyle w:val="43"/>
        <w:tblW w:w="9780"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4890"/>
        <w:gridCol w:w="4890"/>
      </w:tblGrid>
      <w:tr w14:paraId="5AEB64B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40D7CE1A">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甲方（公章）：</w:t>
            </w:r>
          </w:p>
        </w:tc>
        <w:tc>
          <w:tcPr>
            <w:tcW w:w="4890" w:type="dxa"/>
            <w:tcBorders>
              <w:tl2br w:val="nil"/>
              <w:tr2bl w:val="nil"/>
            </w:tcBorders>
            <w:vAlign w:val="center"/>
          </w:tcPr>
          <w:p w14:paraId="320A9463">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乙方（公章）：</w:t>
            </w:r>
          </w:p>
        </w:tc>
      </w:tr>
      <w:tr w14:paraId="131E75DF">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1384B181">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c>
          <w:tcPr>
            <w:tcW w:w="4890" w:type="dxa"/>
            <w:tcBorders>
              <w:tl2br w:val="nil"/>
              <w:tr2bl w:val="nil"/>
            </w:tcBorders>
            <w:vAlign w:val="center"/>
          </w:tcPr>
          <w:p w14:paraId="649A6B9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r>
      <w:tr w14:paraId="09A3D85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129CA2B6">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890" w:type="dxa"/>
            <w:tcBorders>
              <w:tl2br w:val="nil"/>
              <w:tr2bl w:val="nil"/>
            </w:tcBorders>
            <w:vAlign w:val="center"/>
          </w:tcPr>
          <w:p w14:paraId="1E1AEA86">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r w14:paraId="6A9EA4D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DAE79C2">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890" w:type="dxa"/>
            <w:tcBorders>
              <w:tl2br w:val="nil"/>
              <w:tr2bl w:val="nil"/>
            </w:tcBorders>
            <w:vAlign w:val="center"/>
          </w:tcPr>
          <w:p w14:paraId="5981FB9D">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CC4C3BF">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32731D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c>
          <w:tcPr>
            <w:tcW w:w="4890" w:type="dxa"/>
            <w:tcBorders>
              <w:tl2br w:val="nil"/>
              <w:tr2bl w:val="nil"/>
            </w:tcBorders>
            <w:vAlign w:val="center"/>
          </w:tcPr>
          <w:p w14:paraId="71AFB522">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r>
      <w:tr w14:paraId="484A203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9" w:hRule="exact"/>
          <w:jc w:val="center"/>
        </w:trPr>
        <w:tc>
          <w:tcPr>
            <w:tcW w:w="4890" w:type="dxa"/>
            <w:tcBorders>
              <w:tl2br w:val="nil"/>
              <w:tr2bl w:val="nil"/>
            </w:tcBorders>
            <w:vAlign w:val="center"/>
          </w:tcPr>
          <w:p w14:paraId="239673E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890" w:type="dxa"/>
            <w:tcBorders>
              <w:tl2br w:val="nil"/>
              <w:tr2bl w:val="nil"/>
            </w:tcBorders>
            <w:vAlign w:val="center"/>
          </w:tcPr>
          <w:p w14:paraId="5DE8D542">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bl>
    <w:p w14:paraId="23123B05">
      <w:pPr>
        <w:jc w:val="center"/>
        <w:outlineLvl w:val="0"/>
        <w:rPr>
          <w:rFonts w:hint="eastAsia" w:ascii="宋体" w:hAnsi="宋体" w:eastAsia="宋体" w:cs="宋体"/>
          <w:bCs/>
          <w:color w:val="auto"/>
          <w:sz w:val="36"/>
          <w:highlight w:val="none"/>
        </w:rPr>
      </w:pPr>
      <w:r>
        <w:rPr>
          <w:rFonts w:hint="eastAsia" w:ascii="宋体" w:hAnsi="宋体" w:eastAsia="宋体" w:cs="宋体"/>
          <w:color w:val="auto"/>
          <w:highlight w:val="none"/>
        </w:rPr>
        <w:br w:type="page"/>
      </w:r>
      <w:bookmarkStart w:id="170" w:name="_Toc23194"/>
      <w:bookmarkStart w:id="171" w:name="_Toc6780"/>
      <w:bookmarkStart w:id="172" w:name="_Toc1091"/>
      <w:r>
        <w:rPr>
          <w:rFonts w:hint="eastAsia" w:ascii="宋体" w:hAnsi="宋体" w:eastAsia="宋体" w:cs="宋体"/>
          <w:b/>
          <w:bCs w:val="0"/>
          <w:color w:val="auto"/>
          <w:sz w:val="36"/>
          <w:highlight w:val="none"/>
        </w:rPr>
        <w:t>第</w:t>
      </w:r>
      <w:r>
        <w:rPr>
          <w:rFonts w:hint="eastAsia" w:ascii="宋体" w:hAnsi="宋体" w:eastAsia="宋体" w:cs="宋体"/>
          <w:b/>
          <w:bCs w:val="0"/>
          <w:color w:val="auto"/>
          <w:sz w:val="36"/>
          <w:highlight w:val="none"/>
          <w:lang w:val="en-US" w:eastAsia="zh-CN"/>
        </w:rPr>
        <w:t>四</w:t>
      </w:r>
      <w:r>
        <w:rPr>
          <w:rFonts w:hint="eastAsia" w:ascii="宋体" w:hAnsi="宋体" w:eastAsia="宋体" w:cs="宋体"/>
          <w:b/>
          <w:bCs w:val="0"/>
          <w:color w:val="auto"/>
          <w:sz w:val="36"/>
          <w:highlight w:val="none"/>
        </w:rPr>
        <w:t xml:space="preserve">章  </w:t>
      </w:r>
      <w:bookmarkStart w:id="173" w:name="_Hlk110865666"/>
      <w:r>
        <w:rPr>
          <w:rFonts w:hint="eastAsia" w:ascii="宋体" w:hAnsi="宋体" w:eastAsia="宋体" w:cs="宋体"/>
          <w:b/>
          <w:bCs w:val="0"/>
          <w:color w:val="auto"/>
          <w:sz w:val="36"/>
          <w:highlight w:val="none"/>
        </w:rPr>
        <w:t>采购需求</w:t>
      </w:r>
      <w:bookmarkEnd w:id="170"/>
      <w:bookmarkEnd w:id="171"/>
      <w:bookmarkEnd w:id="172"/>
    </w:p>
    <w:bookmarkEnd w:id="173"/>
    <w:p w14:paraId="0D6EEC69">
      <w:pPr>
        <w:widowControl/>
        <w:spacing w:line="360" w:lineRule="auto"/>
        <w:jc w:val="left"/>
        <w:outlineLvl w:val="1"/>
        <w:rPr>
          <w:rFonts w:hint="eastAsia" w:ascii="宋体" w:hAnsi="宋体" w:eastAsia="宋体" w:cs="宋体"/>
          <w:b/>
          <w:bCs/>
          <w:color w:val="auto"/>
          <w:kern w:val="0"/>
          <w:sz w:val="24"/>
          <w:highlight w:val="none"/>
        </w:rPr>
      </w:pPr>
      <w:bookmarkStart w:id="174" w:name="_Toc22888"/>
      <w:bookmarkStart w:id="175" w:name="_Toc28347"/>
      <w:bookmarkStart w:id="176" w:name="_Toc20906"/>
      <w:bookmarkStart w:id="177" w:name="_Toc3069"/>
      <w:bookmarkStart w:id="178" w:name="_Toc8168228"/>
      <w:bookmarkStart w:id="179" w:name="_Toc18419"/>
      <w:bookmarkStart w:id="180" w:name="_Toc5780262"/>
      <w:r>
        <w:rPr>
          <w:rFonts w:hint="eastAsia" w:ascii="宋体" w:hAnsi="宋体" w:eastAsia="宋体" w:cs="宋体"/>
          <w:b/>
          <w:bCs/>
          <w:color w:val="auto"/>
          <w:kern w:val="0"/>
          <w:sz w:val="24"/>
          <w:highlight w:val="none"/>
        </w:rPr>
        <w:t>一、项目基本情况</w:t>
      </w:r>
      <w:bookmarkEnd w:id="174"/>
      <w:bookmarkEnd w:id="175"/>
      <w:bookmarkEnd w:id="176"/>
      <w:bookmarkEnd w:id="177"/>
    </w:p>
    <w:p w14:paraId="73ADBDB6">
      <w:pPr>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5B555F80">
      <w:pPr>
        <w:widowControl/>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cs="宋体"/>
          <w:color w:val="auto"/>
          <w:kern w:val="0"/>
          <w:sz w:val="24"/>
          <w:highlight w:val="none"/>
          <w:lang w:eastAsia="zh-CN"/>
        </w:rPr>
        <w:t>玉溪职业技术学院（云南省玉溪工业财贸学校）改善办学条件采购项目</w:t>
      </w:r>
    </w:p>
    <w:p w14:paraId="1AE48A34">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标段1 图书采购（图书配套设施设备）项目</w:t>
      </w:r>
      <w:r>
        <w:rPr>
          <w:rFonts w:hint="eastAsia" w:ascii="宋体" w:hAnsi="宋体" w:cs="宋体"/>
          <w:color w:val="auto"/>
          <w:kern w:val="0"/>
          <w:sz w:val="24"/>
          <w:highlight w:val="none"/>
          <w:lang w:eastAsia="zh-CN"/>
        </w:rPr>
        <w:t>：</w:t>
      </w:r>
      <w:bookmarkStart w:id="390" w:name="_GoBack"/>
      <w:bookmarkEnd w:id="390"/>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306600.00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叁拾万陆仟陆佰</w:t>
      </w:r>
      <w:r>
        <w:rPr>
          <w:rFonts w:hint="eastAsia" w:ascii="宋体" w:hAnsi="宋体" w:eastAsia="宋体" w:cs="宋体"/>
          <w:color w:val="auto"/>
          <w:kern w:val="0"/>
          <w:sz w:val="24"/>
          <w:highlight w:val="none"/>
          <w:lang w:val="en-US" w:eastAsia="zh-CN"/>
        </w:rPr>
        <w:t>元整；</w:t>
      </w:r>
    </w:p>
    <w:p w14:paraId="517E9567">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3"/>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3587"/>
        <w:gridCol w:w="1194"/>
        <w:gridCol w:w="1176"/>
        <w:gridCol w:w="1304"/>
      </w:tblGrid>
      <w:tr w14:paraId="460C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5F9890A5">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序号</w:t>
            </w:r>
          </w:p>
        </w:tc>
        <w:tc>
          <w:tcPr>
            <w:tcW w:w="3587" w:type="dxa"/>
            <w:vAlign w:val="center"/>
          </w:tcPr>
          <w:p w14:paraId="537804A6">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cs="宋体"/>
                <w:b/>
                <w:bCs/>
                <w:color w:val="auto"/>
                <w:sz w:val="24"/>
                <w:szCs w:val="24"/>
                <w:highlight w:val="none"/>
                <w:vertAlign w:val="baseline"/>
                <w:lang w:val="en-US" w:eastAsia="zh-CN"/>
              </w:rPr>
              <w:t>产品</w:t>
            </w:r>
            <w:r>
              <w:rPr>
                <w:rFonts w:hint="eastAsia" w:ascii="宋体" w:hAnsi="宋体" w:eastAsia="宋体" w:cs="宋体"/>
                <w:b/>
                <w:bCs/>
                <w:color w:val="auto"/>
                <w:sz w:val="24"/>
                <w:szCs w:val="24"/>
                <w:highlight w:val="none"/>
                <w:vertAlign w:val="baseline"/>
                <w:lang w:eastAsia="zh-CN"/>
              </w:rPr>
              <w:t>名称</w:t>
            </w:r>
          </w:p>
        </w:tc>
        <w:tc>
          <w:tcPr>
            <w:tcW w:w="1194" w:type="dxa"/>
            <w:vAlign w:val="center"/>
          </w:tcPr>
          <w:p w14:paraId="59ED8661">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单位</w:t>
            </w:r>
          </w:p>
        </w:tc>
        <w:tc>
          <w:tcPr>
            <w:tcW w:w="1176" w:type="dxa"/>
            <w:vAlign w:val="center"/>
          </w:tcPr>
          <w:p w14:paraId="5AECEC68">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数量</w:t>
            </w:r>
          </w:p>
        </w:tc>
        <w:tc>
          <w:tcPr>
            <w:tcW w:w="1304" w:type="dxa"/>
            <w:vAlign w:val="center"/>
          </w:tcPr>
          <w:p w14:paraId="1F5DD437">
            <w:pPr>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bCs/>
                <w:color w:val="auto"/>
                <w:sz w:val="24"/>
                <w:szCs w:val="24"/>
                <w:highlight w:val="none"/>
                <w:vertAlign w:val="baseline"/>
                <w:lang w:val="en-US" w:eastAsia="zh-CN"/>
              </w:rPr>
            </w:pPr>
            <w:r>
              <w:rPr>
                <w:rFonts w:hint="eastAsia" w:ascii="宋体" w:hAnsi="宋体" w:eastAsia="宋体" w:cs="宋体"/>
                <w:b/>
                <w:color w:val="auto"/>
                <w:kern w:val="2"/>
                <w:sz w:val="24"/>
                <w:szCs w:val="24"/>
                <w:highlight w:val="none"/>
                <w:lang w:val="en-US" w:eastAsia="zh-CN" w:bidi="ar-SA"/>
              </w:rPr>
              <w:t>是否</w:t>
            </w:r>
            <w:r>
              <w:rPr>
                <w:rFonts w:hint="eastAsia" w:ascii="宋体" w:hAnsi="宋体" w:cs="宋体"/>
                <w:b/>
                <w:color w:val="auto"/>
                <w:kern w:val="2"/>
                <w:sz w:val="24"/>
                <w:szCs w:val="24"/>
                <w:highlight w:val="none"/>
                <w:lang w:val="en-US" w:eastAsia="zh-CN" w:bidi="ar-SA"/>
              </w:rPr>
              <w:t>接受</w:t>
            </w:r>
            <w:r>
              <w:rPr>
                <w:rFonts w:hint="eastAsia" w:ascii="宋体" w:hAnsi="宋体" w:eastAsia="宋体" w:cs="宋体"/>
                <w:b/>
                <w:color w:val="auto"/>
                <w:kern w:val="2"/>
                <w:sz w:val="24"/>
                <w:szCs w:val="24"/>
                <w:highlight w:val="none"/>
                <w:lang w:val="en-US" w:eastAsia="zh-CN" w:bidi="ar-SA"/>
              </w:rPr>
              <w:t>进口</w:t>
            </w:r>
            <w:r>
              <w:rPr>
                <w:rFonts w:hint="eastAsia" w:ascii="宋体" w:hAnsi="宋体" w:cs="宋体"/>
                <w:b/>
                <w:color w:val="auto"/>
                <w:kern w:val="2"/>
                <w:sz w:val="24"/>
                <w:szCs w:val="24"/>
                <w:highlight w:val="none"/>
                <w:lang w:val="en-US" w:eastAsia="zh-CN" w:bidi="ar-SA"/>
              </w:rPr>
              <w:t>产品</w:t>
            </w:r>
          </w:p>
        </w:tc>
      </w:tr>
      <w:tr w14:paraId="21E0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shd w:val="clear" w:color="auto" w:fill="auto"/>
            <w:vAlign w:val="center"/>
          </w:tcPr>
          <w:p w14:paraId="604EF483">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1</w:t>
            </w:r>
          </w:p>
        </w:tc>
        <w:tc>
          <w:tcPr>
            <w:tcW w:w="3587" w:type="dxa"/>
            <w:shd w:val="clear" w:color="auto" w:fill="auto"/>
            <w:vAlign w:val="center"/>
          </w:tcPr>
          <w:p w14:paraId="4F981B4E">
            <w:pPr>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vertAlign w:val="baseline"/>
                <w:lang w:val="en-US" w:eastAsia="zh-CN"/>
              </w:rPr>
              <w:t>立式自助借还书机</w:t>
            </w:r>
          </w:p>
        </w:tc>
        <w:tc>
          <w:tcPr>
            <w:tcW w:w="1194" w:type="dxa"/>
            <w:shd w:val="clear" w:color="auto" w:fill="auto"/>
            <w:vAlign w:val="center"/>
          </w:tcPr>
          <w:p w14:paraId="5BB10B8C">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台</w:t>
            </w:r>
          </w:p>
        </w:tc>
        <w:tc>
          <w:tcPr>
            <w:tcW w:w="1176" w:type="dxa"/>
            <w:shd w:val="clear" w:color="auto" w:fill="auto"/>
            <w:vAlign w:val="center"/>
          </w:tcPr>
          <w:p w14:paraId="44B77D8B">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2</w:t>
            </w:r>
          </w:p>
        </w:tc>
        <w:tc>
          <w:tcPr>
            <w:tcW w:w="1304" w:type="dxa"/>
            <w:shd w:val="clear" w:color="auto" w:fill="auto"/>
            <w:vAlign w:val="center"/>
          </w:tcPr>
          <w:p w14:paraId="3CE6404D">
            <w:pPr>
              <w:jc w:val="center"/>
              <w:rPr>
                <w:rFonts w:hint="default" w:ascii="宋体" w:hAnsi="宋体" w:eastAsia="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否</w:t>
            </w:r>
          </w:p>
        </w:tc>
      </w:tr>
      <w:tr w14:paraId="0FE5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shd w:val="clear" w:color="auto" w:fill="auto"/>
            <w:vAlign w:val="center"/>
          </w:tcPr>
          <w:p w14:paraId="7C998894">
            <w:pPr>
              <w:jc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color w:val="auto"/>
                <w:sz w:val="24"/>
                <w:szCs w:val="24"/>
                <w:highlight w:val="none"/>
                <w:vertAlign w:val="baseline"/>
                <w:lang w:val="en-US" w:eastAsia="zh-CN"/>
              </w:rPr>
              <w:t>2</w:t>
            </w:r>
          </w:p>
        </w:tc>
        <w:tc>
          <w:tcPr>
            <w:tcW w:w="3587" w:type="dxa"/>
            <w:shd w:val="clear" w:color="auto" w:fill="auto"/>
            <w:vAlign w:val="center"/>
          </w:tcPr>
          <w:p w14:paraId="54DDBFAB">
            <w:pPr>
              <w:jc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color w:val="auto"/>
                <w:sz w:val="24"/>
                <w:szCs w:val="24"/>
                <w:highlight w:val="none"/>
                <w:vertAlign w:val="baseline"/>
                <w:lang w:val="en-US" w:eastAsia="zh-CN"/>
              </w:rPr>
              <w:t>单通道RFID门禁</w:t>
            </w:r>
          </w:p>
        </w:tc>
        <w:tc>
          <w:tcPr>
            <w:tcW w:w="1194" w:type="dxa"/>
            <w:shd w:val="clear" w:color="auto" w:fill="auto"/>
            <w:vAlign w:val="center"/>
          </w:tcPr>
          <w:p w14:paraId="6798AB78">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套</w:t>
            </w:r>
          </w:p>
        </w:tc>
        <w:tc>
          <w:tcPr>
            <w:tcW w:w="1176" w:type="dxa"/>
            <w:shd w:val="clear" w:color="auto" w:fill="auto"/>
            <w:vAlign w:val="center"/>
          </w:tcPr>
          <w:p w14:paraId="1D9CA726">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vertAlign w:val="baseline"/>
                <w:lang w:val="en-US" w:eastAsia="zh-CN"/>
              </w:rPr>
              <w:t>6</w:t>
            </w:r>
          </w:p>
        </w:tc>
        <w:tc>
          <w:tcPr>
            <w:tcW w:w="1304" w:type="dxa"/>
            <w:shd w:val="clear" w:color="auto" w:fill="auto"/>
            <w:vAlign w:val="center"/>
          </w:tcPr>
          <w:p w14:paraId="6DFE5964">
            <w:pPr>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否</w:t>
            </w:r>
          </w:p>
        </w:tc>
      </w:tr>
      <w:tr w14:paraId="48CB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shd w:val="clear" w:color="auto" w:fill="auto"/>
            <w:vAlign w:val="center"/>
          </w:tcPr>
          <w:p w14:paraId="1D1ECDAF">
            <w:pPr>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w:t>
            </w:r>
          </w:p>
        </w:tc>
        <w:tc>
          <w:tcPr>
            <w:tcW w:w="3587" w:type="dxa"/>
            <w:shd w:val="clear" w:color="auto" w:fill="auto"/>
            <w:vAlign w:val="center"/>
          </w:tcPr>
          <w:p w14:paraId="55A1E039">
            <w:pPr>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人脸识别功能</w:t>
            </w:r>
          </w:p>
        </w:tc>
        <w:tc>
          <w:tcPr>
            <w:tcW w:w="1194" w:type="dxa"/>
            <w:shd w:val="clear" w:color="auto" w:fill="auto"/>
            <w:vAlign w:val="center"/>
          </w:tcPr>
          <w:p w14:paraId="2AF94C54">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rPr>
              <w:t>套</w:t>
            </w:r>
          </w:p>
        </w:tc>
        <w:tc>
          <w:tcPr>
            <w:tcW w:w="1176" w:type="dxa"/>
            <w:shd w:val="clear" w:color="auto" w:fill="auto"/>
            <w:vAlign w:val="center"/>
          </w:tcPr>
          <w:p w14:paraId="5F258AA0">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cs="宋体"/>
                <w:b w:val="0"/>
                <w:bCs w:val="0"/>
                <w:color w:val="auto"/>
                <w:sz w:val="24"/>
                <w:szCs w:val="24"/>
                <w:highlight w:val="none"/>
                <w:lang w:val="en-US" w:eastAsia="zh-CN"/>
              </w:rPr>
              <w:t>3</w:t>
            </w:r>
          </w:p>
        </w:tc>
        <w:tc>
          <w:tcPr>
            <w:tcW w:w="1304" w:type="dxa"/>
            <w:shd w:val="clear" w:color="auto" w:fill="auto"/>
            <w:vAlign w:val="center"/>
          </w:tcPr>
          <w:p w14:paraId="3F0E72C9">
            <w:pPr>
              <w:jc w:val="center"/>
              <w:rPr>
                <w:rFonts w:hint="eastAsia" w:ascii="宋体" w:hAnsi="宋体" w:eastAsia="宋体" w:cs="宋体"/>
                <w:color w:val="auto"/>
                <w:sz w:val="24"/>
                <w:szCs w:val="24"/>
                <w:highlight w:val="none"/>
              </w:rPr>
            </w:pPr>
            <w:r>
              <w:rPr>
                <w:rFonts w:hint="eastAsia" w:ascii="宋体" w:hAnsi="宋体" w:cs="宋体"/>
                <w:b w:val="0"/>
                <w:bCs w:val="0"/>
                <w:color w:val="auto"/>
                <w:sz w:val="24"/>
                <w:szCs w:val="24"/>
                <w:highlight w:val="none"/>
                <w:vertAlign w:val="baseline"/>
                <w:lang w:val="en-US" w:eastAsia="zh-CN"/>
              </w:rPr>
              <w:t>否</w:t>
            </w:r>
          </w:p>
        </w:tc>
      </w:tr>
      <w:tr w14:paraId="3D05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shd w:val="clear" w:color="auto" w:fill="auto"/>
            <w:vAlign w:val="center"/>
          </w:tcPr>
          <w:p w14:paraId="2436B27B">
            <w:pPr>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w:t>
            </w:r>
          </w:p>
        </w:tc>
        <w:tc>
          <w:tcPr>
            <w:tcW w:w="3587" w:type="dxa"/>
            <w:shd w:val="clear" w:color="auto" w:fill="auto"/>
            <w:vAlign w:val="center"/>
          </w:tcPr>
          <w:p w14:paraId="25100643">
            <w:pPr>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数据中台对接</w:t>
            </w:r>
          </w:p>
        </w:tc>
        <w:tc>
          <w:tcPr>
            <w:tcW w:w="1194" w:type="dxa"/>
            <w:shd w:val="clear" w:color="auto" w:fill="auto"/>
            <w:vAlign w:val="center"/>
          </w:tcPr>
          <w:p w14:paraId="1ED056AC">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rPr>
              <w:t>套</w:t>
            </w:r>
          </w:p>
        </w:tc>
        <w:tc>
          <w:tcPr>
            <w:tcW w:w="1176" w:type="dxa"/>
            <w:shd w:val="clear" w:color="auto" w:fill="auto"/>
            <w:vAlign w:val="center"/>
          </w:tcPr>
          <w:p w14:paraId="23E1CEED">
            <w:pPr>
              <w:jc w:val="center"/>
              <w:rPr>
                <w:rFonts w:hint="eastAsia" w:ascii="宋体" w:hAnsi="宋体" w:eastAsia="宋体" w:cs="宋体"/>
                <w:b w:val="0"/>
                <w:bCs w:val="0"/>
                <w:color w:val="auto"/>
                <w:kern w:val="2"/>
                <w:sz w:val="24"/>
                <w:szCs w:val="24"/>
                <w:highlight w:val="none"/>
                <w:vertAlign w:val="baseline"/>
                <w:lang w:val="en-US" w:eastAsia="zh-CN" w:bidi="ar-SA"/>
              </w:rPr>
            </w:pPr>
            <w:r>
              <w:rPr>
                <w:rFonts w:hint="eastAsia" w:ascii="宋体" w:hAnsi="宋体" w:eastAsia="宋体" w:cs="宋体"/>
                <w:b w:val="0"/>
                <w:bCs w:val="0"/>
                <w:color w:val="auto"/>
                <w:sz w:val="24"/>
                <w:szCs w:val="24"/>
                <w:highlight w:val="none"/>
              </w:rPr>
              <w:t>1</w:t>
            </w:r>
          </w:p>
        </w:tc>
        <w:tc>
          <w:tcPr>
            <w:tcW w:w="1304" w:type="dxa"/>
            <w:shd w:val="clear" w:color="auto" w:fill="auto"/>
            <w:vAlign w:val="center"/>
          </w:tcPr>
          <w:p w14:paraId="6F21AA76">
            <w:pPr>
              <w:jc w:val="center"/>
              <w:rPr>
                <w:rFonts w:hint="eastAsia" w:ascii="宋体" w:hAnsi="宋体" w:eastAsia="宋体" w:cs="宋体"/>
                <w:color w:val="auto"/>
                <w:sz w:val="24"/>
                <w:szCs w:val="24"/>
                <w:highlight w:val="none"/>
              </w:rPr>
            </w:pPr>
            <w:r>
              <w:rPr>
                <w:rFonts w:hint="eastAsia" w:ascii="宋体" w:hAnsi="宋体" w:cs="宋体"/>
                <w:b w:val="0"/>
                <w:bCs w:val="0"/>
                <w:color w:val="auto"/>
                <w:sz w:val="24"/>
                <w:szCs w:val="24"/>
                <w:highlight w:val="none"/>
                <w:vertAlign w:val="baseline"/>
                <w:lang w:val="en-US" w:eastAsia="zh-CN"/>
              </w:rPr>
              <w:t>否</w:t>
            </w:r>
          </w:p>
        </w:tc>
      </w:tr>
      <w:tr w14:paraId="56CE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10" w:type="dxa"/>
            <w:gridSpan w:val="5"/>
            <w:shd w:val="clear" w:color="auto" w:fill="auto"/>
            <w:vAlign w:val="center"/>
          </w:tcPr>
          <w:p w14:paraId="6F05F316">
            <w:pPr>
              <w:widowControl/>
              <w:jc w:val="center"/>
              <w:rPr>
                <w:rFonts w:hint="eastAsia" w:ascii="宋体" w:hAnsi="宋体" w:eastAsia="宋体" w:cs="宋体"/>
                <w:b/>
                <w:bCs/>
                <w:snapToGrid/>
                <w:color w:val="auto"/>
                <w:kern w:val="0"/>
                <w:sz w:val="24"/>
                <w:szCs w:val="24"/>
                <w:highlight w:val="none"/>
                <w:lang w:val="en-US" w:eastAsia="zh-CN"/>
              </w:rPr>
            </w:pPr>
            <w:r>
              <w:rPr>
                <w:rFonts w:hint="eastAsia" w:ascii="宋体" w:hAnsi="宋体" w:eastAsia="宋体" w:cs="宋体"/>
                <w:b/>
                <w:bCs/>
                <w:snapToGrid/>
                <w:color w:val="auto"/>
                <w:kern w:val="0"/>
                <w:sz w:val="24"/>
                <w:szCs w:val="24"/>
                <w:highlight w:val="none"/>
                <w:lang w:val="en-US" w:eastAsia="zh-CN"/>
              </w:rPr>
              <w:t>合计：306600</w:t>
            </w:r>
            <w:r>
              <w:rPr>
                <w:rFonts w:hint="default" w:asciiTheme="minorEastAsia" w:hAnsiTheme="minorEastAsia" w:eastAsiaTheme="minorEastAsia" w:cstheme="minorEastAsia"/>
                <w:b/>
                <w:bCs/>
                <w:color w:val="auto"/>
                <w:spacing w:val="0"/>
                <w:kern w:val="0"/>
                <w:sz w:val="24"/>
                <w:szCs w:val="24"/>
                <w:highlight w:val="none"/>
                <w:lang w:val="en-US" w:eastAsia="zh-CN" w:bidi="ar-SA"/>
              </w:rPr>
              <w:t>.00元</w:t>
            </w:r>
          </w:p>
        </w:tc>
      </w:tr>
    </w:tbl>
    <w:p w14:paraId="0408804A">
      <w:pPr>
        <w:spacing w:line="480" w:lineRule="exact"/>
        <w:ind w:firstLine="480" w:firstLineChars="200"/>
        <w:rPr>
          <w:rFonts w:hint="eastAsia" w:ascii="宋体" w:hAnsi="宋体" w:eastAsia="宋体" w:cs="宋体"/>
          <w:color w:val="auto"/>
          <w:kern w:val="0"/>
          <w:sz w:val="24"/>
          <w:highlight w:val="none"/>
          <w:lang w:eastAsia="zh-CN"/>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r>
        <w:rPr>
          <w:rFonts w:hint="eastAsia" w:ascii="宋体" w:hAnsi="宋体" w:eastAsia="宋体" w:cs="宋体"/>
          <w:color w:val="auto"/>
          <w:kern w:val="0"/>
          <w:sz w:val="24"/>
          <w:highlight w:val="none"/>
          <w:lang w:eastAsia="zh-CN"/>
        </w:rPr>
        <w:t>合同签订后15个日历天内完成供货和安装调试并交付使用。</w:t>
      </w:r>
    </w:p>
    <w:p w14:paraId="108A915A">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141B8751">
      <w:pPr>
        <w:rPr>
          <w:rFonts w:hint="eastAsia" w:ascii="宋体" w:hAnsi="宋体" w:eastAsia="宋体" w:cs="宋体"/>
          <w:b/>
          <w:bCs/>
          <w:color w:val="auto"/>
          <w:kern w:val="0"/>
          <w:sz w:val="24"/>
          <w:highlight w:val="none"/>
          <w:lang w:val="en-US" w:eastAsia="zh-CN"/>
        </w:rPr>
      </w:pPr>
      <w:bookmarkStart w:id="181" w:name="_Toc18301"/>
      <w:bookmarkStart w:id="182" w:name="_Toc32245"/>
      <w:r>
        <w:rPr>
          <w:rFonts w:hint="eastAsia" w:ascii="宋体" w:hAnsi="宋体" w:eastAsia="宋体" w:cs="宋体"/>
          <w:b/>
          <w:bCs/>
          <w:color w:val="auto"/>
          <w:kern w:val="0"/>
          <w:sz w:val="24"/>
          <w:highlight w:val="none"/>
          <w:lang w:val="en-US" w:eastAsia="zh-CN"/>
        </w:rPr>
        <w:br w:type="page"/>
      </w:r>
    </w:p>
    <w:p w14:paraId="0BCD831F">
      <w:pPr>
        <w:autoSpaceDE w:val="0"/>
        <w:autoSpaceDN w:val="0"/>
        <w:adjustRightInd w:val="0"/>
        <w:spacing w:line="360" w:lineRule="auto"/>
        <w:outlineLvl w:val="1"/>
        <w:rPr>
          <w:rFonts w:hint="eastAsia" w:ascii="宋体" w:hAnsi="宋体" w:eastAsia="宋体" w:cs="宋体"/>
          <w:color w:val="auto"/>
          <w:sz w:val="24"/>
          <w:highlight w:val="none"/>
          <w:lang w:val="en-US" w:eastAsia="zh-CN"/>
        </w:rPr>
      </w:pPr>
      <w:bookmarkStart w:id="183" w:name="_Toc25310"/>
      <w:bookmarkStart w:id="184" w:name="_Toc25908"/>
      <w:r>
        <w:rPr>
          <w:rFonts w:hint="eastAsia" w:ascii="宋体" w:hAnsi="宋体" w:eastAsia="宋体" w:cs="宋体"/>
          <w:b/>
          <w:bCs/>
          <w:color w:val="auto"/>
          <w:kern w:val="0"/>
          <w:sz w:val="24"/>
          <w:highlight w:val="none"/>
          <w:lang w:val="en-US" w:eastAsia="zh-CN"/>
        </w:rPr>
        <w:t>二</w:t>
      </w:r>
      <w:r>
        <w:rPr>
          <w:rFonts w:hint="eastAsia" w:ascii="宋体" w:hAnsi="宋体" w:eastAsia="宋体" w:cs="宋体"/>
          <w:b/>
          <w:bCs/>
          <w:color w:val="auto"/>
          <w:kern w:val="0"/>
          <w:sz w:val="24"/>
          <w:highlight w:val="none"/>
        </w:rPr>
        <w:t>、设备清单及参数</w:t>
      </w:r>
      <w:bookmarkEnd w:id="181"/>
      <w:bookmarkEnd w:id="182"/>
      <w:bookmarkEnd w:id="183"/>
      <w:bookmarkEnd w:id="184"/>
    </w:p>
    <w:tbl>
      <w:tblPr>
        <w:tblStyle w:val="43"/>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245"/>
        <w:gridCol w:w="6767"/>
        <w:gridCol w:w="1261"/>
      </w:tblGrid>
      <w:tr w14:paraId="27EA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69" w:type="dxa"/>
            <w:noWrap w:val="0"/>
            <w:vAlign w:val="center"/>
          </w:tcPr>
          <w:p w14:paraId="51C36916">
            <w:pPr>
              <w:spacing w:line="360" w:lineRule="auto"/>
              <w:jc w:val="center"/>
              <w:rPr>
                <w:rFonts w:hint="eastAsia" w:ascii="宋体" w:hAnsi="宋体" w:eastAsia="宋体" w:cs="宋体"/>
                <w:b/>
                <w:bCs/>
                <w:color w:val="auto"/>
                <w:sz w:val="24"/>
                <w:szCs w:val="24"/>
                <w:highlight w:val="none"/>
                <w:vertAlign w:val="baseline"/>
                <w:lang w:val="en-US" w:eastAsia="zh-CN"/>
              </w:rPr>
            </w:pPr>
            <w:bookmarkStart w:id="185" w:name="OLE_LINK3" w:colFirst="0" w:colLast="7"/>
            <w:r>
              <w:rPr>
                <w:rFonts w:hint="eastAsia" w:ascii="宋体" w:hAnsi="宋体" w:eastAsia="宋体" w:cs="宋体"/>
                <w:b/>
                <w:bCs/>
                <w:color w:val="auto"/>
                <w:sz w:val="24"/>
                <w:szCs w:val="24"/>
                <w:highlight w:val="none"/>
                <w:vertAlign w:val="baseline"/>
                <w:lang w:val="en-US" w:eastAsia="zh-CN"/>
              </w:rPr>
              <w:t>序号</w:t>
            </w:r>
          </w:p>
        </w:tc>
        <w:tc>
          <w:tcPr>
            <w:tcW w:w="1245" w:type="dxa"/>
            <w:noWrap w:val="0"/>
            <w:vAlign w:val="center"/>
          </w:tcPr>
          <w:p w14:paraId="1E048693">
            <w:pPr>
              <w:spacing w:line="36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货物名称</w:t>
            </w:r>
          </w:p>
        </w:tc>
        <w:tc>
          <w:tcPr>
            <w:tcW w:w="6767" w:type="dxa"/>
            <w:noWrap w:val="0"/>
            <w:vAlign w:val="center"/>
          </w:tcPr>
          <w:p w14:paraId="6E08BAD1">
            <w:pPr>
              <w:spacing w:line="36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技术参数要求</w:t>
            </w:r>
          </w:p>
        </w:tc>
        <w:tc>
          <w:tcPr>
            <w:tcW w:w="1261" w:type="dxa"/>
            <w:noWrap w:val="0"/>
            <w:vAlign w:val="center"/>
          </w:tcPr>
          <w:p w14:paraId="19D05A06">
            <w:pPr>
              <w:spacing w:line="36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备注</w:t>
            </w:r>
          </w:p>
        </w:tc>
      </w:tr>
      <w:bookmarkEnd w:id="185"/>
      <w:tr w14:paraId="1FF3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69" w:type="dxa"/>
            <w:noWrap w:val="0"/>
            <w:vAlign w:val="center"/>
          </w:tcPr>
          <w:p w14:paraId="4CDC99F3">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1245" w:type="dxa"/>
            <w:noWrap w:val="0"/>
            <w:vAlign w:val="center"/>
          </w:tcPr>
          <w:p w14:paraId="5444C71A">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立式自助借还书机</w:t>
            </w:r>
          </w:p>
        </w:tc>
        <w:tc>
          <w:tcPr>
            <w:tcW w:w="6767" w:type="dxa"/>
            <w:noWrap w:val="0"/>
            <w:vAlign w:val="center"/>
          </w:tcPr>
          <w:p w14:paraId="2D890B68">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需要与现有的图书馆管理系统对接，实现图书的自助借还、续借等功能。</w:t>
            </w:r>
          </w:p>
          <w:p w14:paraId="5F64B4E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功能要求：</w:t>
            </w:r>
          </w:p>
          <w:p w14:paraId="302EB3FA">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1、设备集工控主机、触摸显示一体屏、RFID读写一体机、二合一读卡器于一体化设计。</w:t>
            </w:r>
          </w:p>
          <w:p w14:paraId="5331B24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2、可以非接触式的快速识别粘贴在流通文献上的RFID标签，可进行读者卡密码确认。</w:t>
            </w:r>
          </w:p>
          <w:p w14:paraId="6F8BD989">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3、配备触摸显示屏操作，具有图形化的人机交互友好操作界面，提供简体中文语言的视觉交互提示功能。</w:t>
            </w:r>
          </w:p>
          <w:p w14:paraId="4CDB25B3">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4、设备可实时记录读者的操作日志，能够在读者完成借书或还书的同时，对所借还的多本图书安全标志位进行改写。</w:t>
            </w:r>
          </w:p>
          <w:p w14:paraId="4F829FD8">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5、具备防止借阅过程中偷换、抽换书籍的功能。</w:t>
            </w:r>
          </w:p>
          <w:p w14:paraId="23A52675">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6、保护读者隐私，可选择设置显示读者姓名（借阅资料名称），或读者（借阅资料）条码号等非隐私信息。</w:t>
            </w:r>
          </w:p>
          <w:p w14:paraId="202FA55C">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7、标配二合一读卡器（支持IC卡（14443A协议）、RFID卡(15693协议)）。</w:t>
            </w:r>
          </w:p>
          <w:p w14:paraId="4AC8699A">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8、系统支持配置（开启/关闭）读者证密码。</w:t>
            </w:r>
          </w:p>
          <w:p w14:paraId="0C022FB9">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9、系统保证在设备指示区域范围内的图书能够读取，超过范围内的图书不被读取，保证读者操作时不会出错。</w:t>
            </w:r>
          </w:p>
          <w:p w14:paraId="0B66D24A">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10、系统集成部件可通过标准串口、USB接口或网络接口连接至计算机设备。</w:t>
            </w:r>
          </w:p>
          <w:p w14:paraId="10D8F8E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11、采用模块化设计，各部分设备可单独更换，系统可快速恢复使用。</w:t>
            </w:r>
          </w:p>
          <w:p w14:paraId="1926428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 xml:space="preserve">12、系统在网络短暂故障恢复后,自动连接流通系统服务器,并恢复自助服务,无需馆员协助连接或重新启动服务。 </w:t>
            </w:r>
          </w:p>
          <w:p w14:paraId="6CD1BA50">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13、无需读者卡可直接使用账号，以应对无读者卡的图书馆实现借还。</w:t>
            </w:r>
          </w:p>
          <w:p w14:paraId="79AC636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14、为保证系统软件操作更便捷化，系统支持首页应用功能可配置。可配置成只有借书功能或只有还书功能。</w:t>
            </w:r>
          </w:p>
          <w:p w14:paraId="2FF369B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15、系统支持在借书功能应用下，实现放书即完成借书，无需过多操作，让借书更便捷。</w:t>
            </w:r>
          </w:p>
          <w:p w14:paraId="008FFBA1">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16、系统支持在还书功能应用下，实现放书即完成还书，无需过多操作，让还书更便捷。</w:t>
            </w:r>
          </w:p>
          <w:p w14:paraId="22C6E2A9">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17、系统支持多种登录模式验证读者身份，登录模式可在软件后台可配置。</w:t>
            </w:r>
          </w:p>
          <w:p w14:paraId="6CD5BDC3">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18、系统支持凭管理密码进入馆员后台，进行退出软件系统、关机等操作。</w:t>
            </w:r>
          </w:p>
          <w:p w14:paraId="5E976950">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19、支持查询读者个人借阅记录，支持单本或全部续借功能，满足读者个性化需求。</w:t>
            </w:r>
          </w:p>
          <w:p w14:paraId="3D874F2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20、设备具备定时开关机功能，在空闲时可自动播放使用帮助视频或其它设置内容。提供检测报告复印件。</w:t>
            </w:r>
          </w:p>
          <w:p w14:paraId="50163FD5">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21、可在设备软件后台设置设备状态模式，有“维护模式”“试用模式”“正常模式”可选，分别对应项目实施阶段、试用阶段、正常开放阶段的设备使用，避免误用，乱用设备。提供检测报告复印件。</w:t>
            </w:r>
          </w:p>
          <w:p w14:paraId="76FDBF02">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22、标签读取响应时间≥20标签/秒。提供检测报告复印件。</w:t>
            </w:r>
          </w:p>
          <w:p w14:paraId="267D750C">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▲23、提供自助借还软件著作权登记证书及测试报告，提供复印件。</w:t>
            </w:r>
          </w:p>
          <w:p w14:paraId="374BDC3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▲24、提供RFID读写软件著作权登记证书，提供证书复印件。</w:t>
            </w:r>
          </w:p>
          <w:p w14:paraId="16F6B361">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▲25、提供RFID天线控制软件著作权登记证书，提供证书复印件。</w:t>
            </w:r>
          </w:p>
          <w:p w14:paraId="1D64126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▲26、需通过国家《GB/T2423.1-2008》、《GB/T2423.2-2008》相关标准试验检测，具备检测资质的第三方检测机构出具的检测报告，提供检测报告复印件。</w:t>
            </w:r>
          </w:p>
          <w:p w14:paraId="73731FF2">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▲27、需通过符合国家《 GB/T 26572-2011》电子电气产品中限用物质的限量要求（检测物质不少于6种（铅、镉、汞、六价铬、多溴联苯、多溴二苯醚）），具备检测资质的第三方检测机构出具的检测报告，提供检测报告复印件。</w:t>
            </w:r>
          </w:p>
          <w:p w14:paraId="7EB26864">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▲28、需通过符合国家《GB 4943.1-2022》信息技术和通信技术设备-安全要求、《GB/T9254.1-2021》信息技术设备 电磁兼容-发射要求、《GB 17625.1-2022》电磁兼容 -谐波电流发射限值的相关标准要求，具备检测资质的第三方检测机构出具的检测报告，提供检测报告复印件。</w:t>
            </w:r>
          </w:p>
          <w:p w14:paraId="05B49A9A">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▲29、需通过符合国家《GB/T 17626.2-2018》电磁兼容试验和测量技术静电放电抗扰度试验、《GB/T 17626.3-2023》电磁兼容试验和测量技术第3部分:射频电磁场辐射抗扰度试验、《GB/T 17626.4-2018》电磁兼容试验和测量技术电快速瞬变脉冲群抗扰度试验、《GB/T 17626.5-2019》电磁兼容试验和测量技术浪涌(冲击)抗扰度试验的相关标准要求，具备检测资质的第三方检测机构出具的检测报告，提供检测报告复印件。</w:t>
            </w:r>
          </w:p>
          <w:p w14:paraId="241287BF">
            <w:pPr>
              <w:spacing w:line="360" w:lineRule="auto"/>
              <w:jc w:val="left"/>
              <w:rPr>
                <w:rFonts w:hint="eastAsia" w:ascii="宋体" w:hAnsi="宋体" w:eastAsia="宋体" w:cs="宋体"/>
                <w:b w:val="0"/>
                <w:bCs w:val="0"/>
                <w:color w:val="auto"/>
                <w:sz w:val="24"/>
                <w:szCs w:val="24"/>
                <w:highlight w:val="none"/>
                <w:vertAlign w:val="baseline"/>
                <w:lang w:val="en-US" w:eastAsia="zh-CN"/>
              </w:rPr>
            </w:pPr>
          </w:p>
          <w:p w14:paraId="7EB8708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技术要求：</w:t>
            </w:r>
          </w:p>
          <w:p w14:paraId="50DEAD0E">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1、工作频率：≥13.56MHz。</w:t>
            </w:r>
          </w:p>
          <w:p w14:paraId="353ACAB8">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2、屏幕尺寸：≥21.5寸。</w:t>
            </w:r>
          </w:p>
          <w:p w14:paraId="599A380E">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3、触摸类型：电容屏。</w:t>
            </w:r>
          </w:p>
          <w:p w14:paraId="42D938BA">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4、工作温度：-10℃～50℃。</w:t>
            </w:r>
          </w:p>
          <w:p w14:paraId="6E7D4C20">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5、储存温度：-20℃～60℃。</w:t>
            </w:r>
          </w:p>
          <w:p w14:paraId="7C9671C6">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6、相对湿度：5%～80%。</w:t>
            </w:r>
          </w:p>
          <w:p w14:paraId="417B090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7、材    质：钣金，钢化玻璃，亚克力。</w:t>
            </w:r>
          </w:p>
          <w:p w14:paraId="1E4BA36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8、符合标准：ISO18000-3，ISO15693。</w:t>
            </w:r>
          </w:p>
          <w:p w14:paraId="7087EFF5">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9、主机配置：ARM平台，Android 11系统或以上系统。</w:t>
            </w:r>
          </w:p>
          <w:p w14:paraId="0711B0B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10、内    存：≥4G。</w:t>
            </w:r>
          </w:p>
          <w:p w14:paraId="01603B36">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11、储存空间：≥32G。</w:t>
            </w:r>
          </w:p>
          <w:p w14:paraId="20C0DDCE">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12、识别图书：多本（堆砌高度不大于250mm）。</w:t>
            </w:r>
          </w:p>
          <w:p w14:paraId="338493E0">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13、供电要求：AC220V,50Hz。</w:t>
            </w:r>
          </w:p>
          <w:p w14:paraId="58038B8C">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14、功    耗：≤45W。</w:t>
            </w:r>
          </w:p>
          <w:p w14:paraId="150216E1">
            <w:pPr>
              <w:spacing w:line="360" w:lineRule="auto"/>
              <w:jc w:val="left"/>
              <w:rPr>
                <w:rFonts w:hint="eastAsia"/>
                <w:b w:val="0"/>
                <w:bCs w:val="0"/>
                <w:color w:val="auto"/>
                <w:highlight w:val="none"/>
                <w:lang w:val="en-US" w:eastAsia="zh-CN"/>
              </w:rPr>
            </w:pPr>
            <w:r>
              <w:rPr>
                <w:rFonts w:hint="eastAsia" w:ascii="宋体" w:hAnsi="宋体" w:eastAsia="宋体" w:cs="宋体"/>
                <w:b w:val="0"/>
                <w:bCs w:val="0"/>
                <w:color w:val="auto"/>
                <w:sz w:val="24"/>
                <w:szCs w:val="24"/>
                <w:highlight w:val="none"/>
                <w:vertAlign w:val="baseline"/>
                <w:lang w:val="en-US" w:eastAsia="zh-CN"/>
              </w:rPr>
              <w:t>15、摄像头：红外双目摄像头。摄像头角度可上下角度调节正负20度内。</w:t>
            </w:r>
          </w:p>
        </w:tc>
        <w:tc>
          <w:tcPr>
            <w:tcW w:w="1261" w:type="dxa"/>
            <w:noWrap w:val="0"/>
            <w:vAlign w:val="center"/>
          </w:tcPr>
          <w:p w14:paraId="5CA367BF">
            <w:pPr>
              <w:spacing w:line="360" w:lineRule="auto"/>
              <w:jc w:val="center"/>
              <w:rPr>
                <w:rFonts w:hint="eastAsia" w:ascii="宋体" w:hAnsi="宋体" w:eastAsia="宋体" w:cs="宋体"/>
                <w:b w:val="0"/>
                <w:bCs w:val="0"/>
                <w:color w:val="auto"/>
                <w:sz w:val="24"/>
                <w:szCs w:val="24"/>
                <w:highlight w:val="none"/>
                <w:vertAlign w:val="baseline"/>
                <w:lang w:val="en-US" w:eastAsia="zh-CN"/>
              </w:rPr>
            </w:pPr>
          </w:p>
        </w:tc>
      </w:tr>
      <w:tr w14:paraId="46646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69" w:type="dxa"/>
            <w:noWrap w:val="0"/>
            <w:vAlign w:val="center"/>
          </w:tcPr>
          <w:p w14:paraId="6449D1D9">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w:t>
            </w:r>
          </w:p>
        </w:tc>
        <w:tc>
          <w:tcPr>
            <w:tcW w:w="1245" w:type="dxa"/>
            <w:noWrap w:val="0"/>
            <w:vAlign w:val="center"/>
          </w:tcPr>
          <w:p w14:paraId="1FA7DA1F">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单通道RFID门禁</w:t>
            </w:r>
          </w:p>
        </w:tc>
        <w:tc>
          <w:tcPr>
            <w:tcW w:w="6767" w:type="dxa"/>
            <w:noWrap w:val="0"/>
            <w:vAlign w:val="center"/>
          </w:tcPr>
          <w:p w14:paraId="50EDFB4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功能及特点：RFID安全门支持实时检测一个或多个图书标签，多种报警检测模式、环境电磁干扰检测，支持客流量统计，支持多组安全门并排安装，可检测是否有遗漏处理的图书带出，具有音频和视觉报警信号，报警音量可调控，安全门通道内宽度可根据实际需求80-120cm宽度进行调整。</w:t>
            </w:r>
          </w:p>
          <w:p w14:paraId="26AD62BC">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功能要求</w:t>
            </w:r>
          </w:p>
          <w:p w14:paraId="027BFCC6">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1、支持多种报警检测模式：EAS、AFI、EAS+AFI、AFI+DSFID。</w:t>
            </w:r>
          </w:p>
          <w:p w14:paraId="4A9E6CC1">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2、非接触式的快速识别粘贴在流通资料上的RFID标签。</w:t>
            </w:r>
          </w:p>
          <w:p w14:paraId="0A85B156">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3、多通道安全检测门具备单通道独立报警和提示功能。</w:t>
            </w:r>
          </w:p>
          <w:p w14:paraId="641BD50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4、具备流量计数功能，数据可重置。</w:t>
            </w:r>
          </w:p>
          <w:p w14:paraId="5733539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5、系统设备需通过简单的硬件转换即可升级，紧跟最新技术发展。</w:t>
            </w:r>
          </w:p>
          <w:p w14:paraId="151CCD82">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6、UID卡号读取、两路联动输出、支持环境电磁干扰检测功能、射频输出功率可调。</w:t>
            </w:r>
          </w:p>
          <w:p w14:paraId="6B070A83">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7、要求双蜂鸣器输出，实现区分不同事件。</w:t>
            </w:r>
          </w:p>
          <w:p w14:paraId="7F361790">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8、安全门通道内宽度可根据需求80-120cm宽度进行调整，标配为120cm，要求通道内识别图书无盲区，含配套的安全门底座。</w:t>
            </w:r>
          </w:p>
          <w:p w14:paraId="176065FE">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9、系统须具有故障报警提示功能。</w:t>
            </w:r>
          </w:p>
          <w:p w14:paraId="5490EE4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 xml:space="preserve">10、产品须标配遥控器，无须打开设备箱门，即可调节音量大小和切换读者流量显示。 </w:t>
            </w:r>
          </w:p>
          <w:p w14:paraId="7CCE1CE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11、要求可支持9片门并排使用，每片有四个扩展口（可接智能门禁，智能监控等设备实现联动）。</w:t>
            </w:r>
          </w:p>
          <w:p w14:paraId="5E2279D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12、对图书馆内的印刷品、视听出版物、CD及DVD等流通资料进行安全扫描操作，不损坏粘贴在流通资料中的磁性介质的资料。提供检测报告复印件。</w:t>
            </w:r>
          </w:p>
          <w:p w14:paraId="40A1534E">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13、设备系统需具有高侦测性能，能够进行三维监测，要求无误报，无漏报。提供检测报告复印件。</w:t>
            </w:r>
          </w:p>
          <w:p w14:paraId="0E50E086">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14、具有音频和视觉报警信号，且信号源可设置，报警音量可调控。提供检测报告复印件。</w:t>
            </w:r>
          </w:p>
          <w:p w14:paraId="1B466181">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15、人员流量统计：支持对进出读者人次的双向统计，进、出读者人次计数正确。提供检测报告复印件。</w:t>
            </w:r>
          </w:p>
          <w:p w14:paraId="6DED27BE">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16、提供人员流量统计应用系统的著作权登记证书及测试报告，提供复印件。</w:t>
            </w:r>
          </w:p>
          <w:p w14:paraId="331255B2">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17、提供RFID安全门禁监控报警系统著作权登记证书及测试报告，提供复印件。</w:t>
            </w:r>
          </w:p>
          <w:p w14:paraId="36F07D0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▲18、提供RFID安全门智能控制软件著作权登记证书，提供证书复印件。</w:t>
            </w:r>
          </w:p>
          <w:p w14:paraId="5579E954">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▲19、需通过符合《GB/T2423.1-2008》、《GB/T2423.2-2008》相关标准试验检测，具备检测资质的第三方检测机构出具的检测报告，提供检测报告复印件。</w:t>
            </w:r>
          </w:p>
          <w:p w14:paraId="350081F9">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▲20、需通过符合国家《GB 4943.1-2022》信息技术和通信技术设备-安全要求、《GB 17625.1-2022》电磁兼容 -谐波电流发射限值、《GB/T 17626.2-2018》电磁兼容试验和测量技术静电放电抗扰度试验、《GB/T 17626.3-2023》电磁兼容试验和测量技术第3部分:射频电磁场辐射抗扰度试验、《GB/T 17626.4-2018》电磁兼容试验和测量技术电快速瞬变脉冲群抗扰度试验、《GB/T 17626.5-2019》电磁兼容试验和测量技术浪涌(冲击)抗扰度试验、《 GB/T 26572-2011》电子电气产品中限用物质的限量要求，具备检测资质的第三方检测机构出具的检测报告，提供检测报告复印件。</w:t>
            </w:r>
          </w:p>
          <w:p w14:paraId="7D79E01F">
            <w:pPr>
              <w:spacing w:line="360" w:lineRule="auto"/>
              <w:jc w:val="left"/>
              <w:rPr>
                <w:rFonts w:hint="eastAsia" w:ascii="宋体" w:hAnsi="宋体" w:eastAsia="宋体" w:cs="宋体"/>
                <w:b w:val="0"/>
                <w:bCs w:val="0"/>
                <w:color w:val="auto"/>
                <w:sz w:val="24"/>
                <w:szCs w:val="24"/>
                <w:highlight w:val="none"/>
                <w:vertAlign w:val="baseline"/>
                <w:lang w:val="en-US" w:eastAsia="zh-CN"/>
              </w:rPr>
            </w:pPr>
          </w:p>
          <w:p w14:paraId="4F2B4CA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技术要求：</w:t>
            </w:r>
          </w:p>
          <w:p w14:paraId="060605AA">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1、工作频率：≥13.56Mhz。</w:t>
            </w:r>
          </w:p>
          <w:p w14:paraId="55E5249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2、材    质：亚克力，铝型材，钣金。</w:t>
            </w:r>
          </w:p>
          <w:p w14:paraId="6A324C14">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3、设备重量：≤40kg/片。</w:t>
            </w:r>
          </w:p>
          <w:p w14:paraId="62A09B78">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4、工作温度：-20℃～60℃。</w:t>
            </w:r>
          </w:p>
          <w:p w14:paraId="777CAA41">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5、储存温度：-40℃～80℃。</w:t>
            </w:r>
          </w:p>
          <w:p w14:paraId="76043FE5">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6、相对湿度：10%～90%(无凝露）。</w:t>
            </w:r>
          </w:p>
          <w:p w14:paraId="793AB403">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7、符合标准：ISO18000-3，ISO15693。</w:t>
            </w:r>
          </w:p>
          <w:p w14:paraId="0683B8A8">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8、射频功率：1至8W可调。</w:t>
            </w:r>
          </w:p>
          <w:p w14:paraId="6D93E4F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9、通道宽度：90-140CM，建议90CM。</w:t>
            </w:r>
          </w:p>
          <w:p w14:paraId="36B6866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10、通信接口：以太网（TCP/IP）。</w:t>
            </w:r>
          </w:p>
          <w:p w14:paraId="4010806A">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11、显示屏幕：4.3寸</w:t>
            </w:r>
          </w:p>
          <w:p w14:paraId="20E872E9">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12、供电要求：100~240V,50~60Hz。</w:t>
            </w:r>
          </w:p>
          <w:p w14:paraId="016DB0AE">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13、功    耗：额定20W。</w:t>
            </w:r>
          </w:p>
        </w:tc>
        <w:tc>
          <w:tcPr>
            <w:tcW w:w="1261" w:type="dxa"/>
            <w:noWrap w:val="0"/>
            <w:vAlign w:val="center"/>
          </w:tcPr>
          <w:p w14:paraId="2A47175E">
            <w:pPr>
              <w:spacing w:line="360" w:lineRule="auto"/>
              <w:jc w:val="center"/>
              <w:rPr>
                <w:rFonts w:hint="eastAsia" w:ascii="宋体" w:hAnsi="宋体" w:eastAsia="宋体" w:cs="宋体"/>
                <w:b w:val="0"/>
                <w:bCs w:val="0"/>
                <w:color w:val="auto"/>
                <w:sz w:val="24"/>
                <w:szCs w:val="24"/>
                <w:highlight w:val="none"/>
                <w:vertAlign w:val="baseline"/>
                <w:lang w:val="en-US" w:eastAsia="zh-CN"/>
              </w:rPr>
            </w:pPr>
          </w:p>
        </w:tc>
      </w:tr>
      <w:tr w14:paraId="1FA6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69" w:type="dxa"/>
            <w:shd w:val="clear" w:color="auto" w:fill="auto"/>
            <w:noWrap w:val="0"/>
            <w:vAlign w:val="center"/>
          </w:tcPr>
          <w:p w14:paraId="0D269C36">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w:t>
            </w:r>
          </w:p>
        </w:tc>
        <w:tc>
          <w:tcPr>
            <w:tcW w:w="1245" w:type="dxa"/>
            <w:shd w:val="clear" w:color="auto" w:fill="auto"/>
            <w:noWrap w:val="0"/>
            <w:vAlign w:val="center"/>
          </w:tcPr>
          <w:p w14:paraId="2773993A">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人脸识别功能</w:t>
            </w:r>
          </w:p>
        </w:tc>
        <w:tc>
          <w:tcPr>
            <w:tcW w:w="6767" w:type="dxa"/>
            <w:shd w:val="clear" w:color="auto" w:fill="auto"/>
            <w:noWrap w:val="0"/>
            <w:vAlign w:val="center"/>
          </w:tcPr>
          <w:p w14:paraId="2923592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1、人脸数据采集终端，要求支持人脸数据捕获，完成人脸数据注册、动态验证、静态验证等功能。</w:t>
            </w:r>
          </w:p>
          <w:p w14:paraId="4CF17A6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2、人脸识别管理平台，要求支持管理人脸识别功能管理。</w:t>
            </w:r>
          </w:p>
          <w:p w14:paraId="38282EE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3、人脸识别算法服务，要求支持人脸识别数据捕获、对比、分析等功能。</w:t>
            </w:r>
          </w:p>
          <w:p w14:paraId="41F4740D">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4、人脸识别数据库，要求支持存储人脸特征数据。</w:t>
            </w:r>
          </w:p>
          <w:p w14:paraId="2852AB93">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▲5、要求支持检测图中的人脸，并为人脸标记出边框。检测出人脸后，可对人脸进行分析，获得眼、口、鼻轮廓等 72 个关键点定位准确识别多种人脸属性，如性别，年龄等信息。提供第三方权威检测机构出具的检测报告复印件进行佐证。</w:t>
            </w:r>
          </w:p>
          <w:p w14:paraId="3FBAE4F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▲6、要求支持提供人脸注册、人脸更新、人脸删除、创建用户组、删除用户组等维度的人脸库管理接口，与在线接口的人脸库管理功能完全相同。提供第三方权威检测机构出具的检测报告复印件进行佐证。</w:t>
            </w:r>
          </w:p>
          <w:p w14:paraId="5DC09822">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7、无需读者卡可直接使用账号、密码绑定人脸，以应对无读者卡的图书馆实现借还。</w:t>
            </w:r>
          </w:p>
          <w:p w14:paraId="5B7C4B62">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8、可通过人脸识别验证读者身份，要求人脸识别摄像头必须为红外双目摄像头，能有效防止照片、视频欺诈。</w:t>
            </w:r>
          </w:p>
          <w:p w14:paraId="2300B5AF">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本次采购为现有设备功能升级，待升级设备数量3台，设备名称为：拓迪自助借还机。本次升级需保证馆内现有设备正常运行，并满足上述功能，提供三年质保，为保障售后服务投标时需提供针对本项目的原厂售后服务承诺函。</w:t>
            </w:r>
          </w:p>
        </w:tc>
        <w:tc>
          <w:tcPr>
            <w:tcW w:w="1261" w:type="dxa"/>
            <w:noWrap w:val="0"/>
            <w:vAlign w:val="center"/>
          </w:tcPr>
          <w:p w14:paraId="1E6CD2E8">
            <w:pPr>
              <w:spacing w:line="360" w:lineRule="auto"/>
              <w:jc w:val="left"/>
              <w:rPr>
                <w:rFonts w:hint="eastAsia" w:ascii="宋体" w:hAnsi="宋体" w:eastAsia="宋体" w:cs="宋体"/>
                <w:b w:val="0"/>
                <w:bCs w:val="0"/>
                <w:color w:val="auto"/>
                <w:sz w:val="24"/>
                <w:szCs w:val="24"/>
                <w:highlight w:val="none"/>
                <w:vertAlign w:val="baseline"/>
                <w:lang w:val="en-US" w:eastAsia="zh-CN"/>
              </w:rPr>
            </w:pPr>
          </w:p>
        </w:tc>
      </w:tr>
      <w:tr w14:paraId="5F70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69" w:type="dxa"/>
            <w:shd w:val="clear" w:color="auto" w:fill="auto"/>
            <w:noWrap w:val="0"/>
            <w:vAlign w:val="center"/>
          </w:tcPr>
          <w:p w14:paraId="0C093128">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4</w:t>
            </w:r>
          </w:p>
        </w:tc>
        <w:tc>
          <w:tcPr>
            <w:tcW w:w="1245" w:type="dxa"/>
            <w:shd w:val="clear" w:color="auto" w:fill="auto"/>
            <w:noWrap w:val="0"/>
            <w:vAlign w:val="center"/>
          </w:tcPr>
          <w:p w14:paraId="7F185D48">
            <w:pPr>
              <w:spacing w:line="360" w:lineRule="auto"/>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数据中台对接</w:t>
            </w:r>
          </w:p>
        </w:tc>
        <w:tc>
          <w:tcPr>
            <w:tcW w:w="6767" w:type="dxa"/>
            <w:shd w:val="clear" w:color="auto" w:fill="auto"/>
            <w:noWrap w:val="0"/>
            <w:vAlign w:val="center"/>
          </w:tcPr>
          <w:p w14:paraId="3B14962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1、图书馆提供给中台信息：</w:t>
            </w:r>
          </w:p>
          <w:p w14:paraId="69C3E9E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图书馆馆藏总量、馆藏分类统计、读者借阅统计。</w:t>
            </w:r>
          </w:p>
          <w:p w14:paraId="117B59F8">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馆藏量(九龙)、分类统计(九龙)、读者借阅统计(九龙).</w:t>
            </w:r>
          </w:p>
          <w:p w14:paraId="2C5EC761">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馆藏量(科创)、分类统计(科创)、读者借阅统计(科创).</w:t>
            </w:r>
          </w:p>
          <w:p w14:paraId="5B725479">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2、图书馆需求信息</w:t>
            </w:r>
          </w:p>
          <w:p w14:paraId="606D2BF8">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学生数据(姓名、性别、身份证号、学生证号、校区、年级、班级、电话号码、人脸数据)</w:t>
            </w:r>
          </w:p>
          <w:p w14:paraId="44B0C307">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职工数据(姓名、性别、身份证号、工号、单位、部门、电话号码、人脸数据)</w:t>
            </w:r>
          </w:p>
          <w:p w14:paraId="3B130E4B">
            <w:pPr>
              <w:spacing w:line="360" w:lineRule="auto"/>
              <w:jc w:val="left"/>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★需要数据来源：学工系统、人事系统、门禁系统。</w:t>
            </w:r>
          </w:p>
        </w:tc>
        <w:tc>
          <w:tcPr>
            <w:tcW w:w="1261" w:type="dxa"/>
            <w:noWrap w:val="0"/>
            <w:vAlign w:val="center"/>
          </w:tcPr>
          <w:p w14:paraId="553F97CB">
            <w:pPr>
              <w:spacing w:line="360" w:lineRule="auto"/>
              <w:jc w:val="left"/>
              <w:rPr>
                <w:rFonts w:hint="eastAsia" w:ascii="宋体" w:hAnsi="宋体" w:eastAsia="宋体" w:cs="宋体"/>
                <w:b w:val="0"/>
                <w:bCs w:val="0"/>
                <w:color w:val="auto"/>
                <w:sz w:val="24"/>
                <w:szCs w:val="24"/>
                <w:highlight w:val="none"/>
                <w:vertAlign w:val="baseline"/>
                <w:lang w:val="en-US" w:eastAsia="zh-CN"/>
              </w:rPr>
            </w:pPr>
          </w:p>
        </w:tc>
      </w:tr>
    </w:tbl>
    <w:p w14:paraId="5B569A6B">
      <w:pPr>
        <w:pStyle w:val="2"/>
        <w:rPr>
          <w:rFonts w:hint="eastAsia" w:ascii="宋体" w:hAnsi="宋体" w:eastAsia="宋体" w:cs="宋体"/>
          <w:color w:val="auto"/>
          <w:highlight w:val="none"/>
        </w:rPr>
      </w:pPr>
    </w:p>
    <w:p w14:paraId="17EAB0DD">
      <w:pPr>
        <w:rPr>
          <w:rFonts w:hint="eastAsia"/>
          <w:color w:val="auto"/>
          <w:highlight w:val="none"/>
        </w:rPr>
      </w:pPr>
    </w:p>
    <w:p w14:paraId="19E64C20">
      <w:pPr>
        <w:autoSpaceDE w:val="0"/>
        <w:autoSpaceDN w:val="0"/>
        <w:adjustRightInd w:val="0"/>
        <w:spacing w:line="360" w:lineRule="auto"/>
        <w:ind w:firstLine="480" w:firstLineChars="200"/>
        <w:rPr>
          <w:rFonts w:hint="eastAsia" w:ascii="宋体" w:hAnsi="宋体" w:eastAsia="宋体" w:cs="宋体"/>
          <w:color w:val="auto"/>
          <w:sz w:val="24"/>
          <w:highlight w:val="none"/>
        </w:rPr>
        <w:sectPr>
          <w:footerReference r:id="rId7" w:type="default"/>
          <w:pgSz w:w="11906" w:h="16838"/>
          <w:pgMar w:top="1247" w:right="1247" w:bottom="1247" w:left="1247" w:header="964" w:footer="992" w:gutter="0"/>
          <w:pgNumType w:fmt="decimal" w:start="1"/>
          <w:cols w:space="0" w:num="1"/>
          <w:docGrid w:type="lines" w:linePitch="319" w:charSpace="0"/>
        </w:sectPr>
      </w:pPr>
    </w:p>
    <w:p w14:paraId="06199AD8">
      <w:pPr>
        <w:pStyle w:val="3"/>
        <w:spacing w:line="240" w:lineRule="auto"/>
        <w:jc w:val="center"/>
        <w:rPr>
          <w:rFonts w:hint="eastAsia" w:ascii="宋体" w:hAnsi="宋体" w:eastAsia="宋体" w:cs="宋体"/>
          <w:bCs/>
          <w:color w:val="auto"/>
          <w:sz w:val="36"/>
          <w:highlight w:val="none"/>
        </w:rPr>
      </w:pPr>
      <w:bookmarkStart w:id="186" w:name="_Toc27735"/>
      <w:bookmarkStart w:id="187" w:name="_Toc31654"/>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五</w:t>
      </w:r>
      <w:r>
        <w:rPr>
          <w:rFonts w:hint="eastAsia" w:ascii="宋体" w:hAnsi="宋体" w:eastAsia="宋体" w:cs="宋体"/>
          <w:bCs/>
          <w:color w:val="auto"/>
          <w:sz w:val="36"/>
          <w:highlight w:val="none"/>
        </w:rPr>
        <w:t xml:space="preserve">章  </w:t>
      </w:r>
      <w:bookmarkStart w:id="188" w:name="_Toc530745485"/>
      <w:r>
        <w:rPr>
          <w:rFonts w:hint="eastAsia" w:ascii="宋体" w:hAnsi="宋体" w:eastAsia="宋体" w:cs="宋体"/>
          <w:bCs/>
          <w:color w:val="auto"/>
          <w:sz w:val="36"/>
          <w:highlight w:val="none"/>
        </w:rPr>
        <w:t>资格评审标准</w:t>
      </w:r>
      <w:bookmarkEnd w:id="178"/>
      <w:bookmarkEnd w:id="179"/>
      <w:bookmarkEnd w:id="180"/>
      <w:bookmarkEnd w:id="186"/>
      <w:bookmarkEnd w:id="187"/>
      <w:bookmarkEnd w:id="188"/>
    </w:p>
    <w:p w14:paraId="1F560D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依据法律法规和招标文件的规定，对投标文件中的资格证明文件进行审查，具体详见评审内容及标准。若下表中任意一条不合格则视为资格审查不合格。合格投标人不足3家的，不得评标。</w:t>
      </w:r>
    </w:p>
    <w:tbl>
      <w:tblPr>
        <w:tblStyle w:val="42"/>
        <w:tblW w:w="10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706"/>
        <w:gridCol w:w="3414"/>
        <w:gridCol w:w="5000"/>
      </w:tblGrid>
      <w:tr w14:paraId="69F3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blHeader/>
          <w:jc w:val="center"/>
        </w:trPr>
        <w:tc>
          <w:tcPr>
            <w:tcW w:w="1616" w:type="dxa"/>
            <w:gridSpan w:val="2"/>
            <w:tcBorders>
              <w:top w:val="single" w:color="auto" w:sz="4" w:space="0"/>
              <w:left w:val="single" w:color="auto" w:sz="4" w:space="0"/>
              <w:bottom w:val="single" w:color="auto" w:sz="4" w:space="0"/>
              <w:right w:val="single" w:color="auto" w:sz="4" w:space="0"/>
            </w:tcBorders>
            <w:vAlign w:val="center"/>
          </w:tcPr>
          <w:p w14:paraId="43607B63">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条款号</w:t>
            </w:r>
          </w:p>
        </w:tc>
        <w:tc>
          <w:tcPr>
            <w:tcW w:w="3414" w:type="dxa"/>
            <w:tcBorders>
              <w:top w:val="single" w:color="auto" w:sz="4" w:space="0"/>
              <w:left w:val="single" w:color="auto" w:sz="4" w:space="0"/>
              <w:bottom w:val="single" w:color="auto" w:sz="4" w:space="0"/>
              <w:right w:val="single" w:color="auto" w:sz="4" w:space="0"/>
            </w:tcBorders>
            <w:vAlign w:val="center"/>
          </w:tcPr>
          <w:p w14:paraId="676A5356">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内 容</w:t>
            </w:r>
          </w:p>
        </w:tc>
        <w:tc>
          <w:tcPr>
            <w:tcW w:w="5000" w:type="dxa"/>
            <w:tcBorders>
              <w:top w:val="single" w:color="auto" w:sz="4" w:space="0"/>
              <w:left w:val="single" w:color="auto" w:sz="4" w:space="0"/>
              <w:bottom w:val="single" w:color="auto" w:sz="4" w:space="0"/>
              <w:right w:val="single" w:color="auto" w:sz="4" w:space="0"/>
            </w:tcBorders>
            <w:vAlign w:val="center"/>
          </w:tcPr>
          <w:p w14:paraId="750C0A4B">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标 准</w:t>
            </w:r>
          </w:p>
        </w:tc>
      </w:tr>
      <w:tr w14:paraId="0BDC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910" w:type="dxa"/>
            <w:vMerge w:val="restart"/>
            <w:tcBorders>
              <w:top w:val="single" w:color="auto" w:sz="4" w:space="0"/>
              <w:left w:val="single" w:color="auto" w:sz="4" w:space="0"/>
              <w:right w:val="single" w:color="auto" w:sz="4" w:space="0"/>
            </w:tcBorders>
            <w:vAlign w:val="center"/>
          </w:tcPr>
          <w:p w14:paraId="488016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w:t>
            </w:r>
          </w:p>
        </w:tc>
        <w:tc>
          <w:tcPr>
            <w:tcW w:w="706" w:type="dxa"/>
            <w:vMerge w:val="restart"/>
            <w:tcBorders>
              <w:top w:val="single" w:color="auto" w:sz="4" w:space="0"/>
              <w:left w:val="single" w:color="auto" w:sz="4" w:space="0"/>
              <w:right w:val="single" w:color="auto" w:sz="4" w:space="0"/>
            </w:tcBorders>
            <w:vAlign w:val="center"/>
          </w:tcPr>
          <w:p w14:paraId="74EFDF6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资格评审标准</w:t>
            </w:r>
          </w:p>
        </w:tc>
        <w:tc>
          <w:tcPr>
            <w:tcW w:w="8414" w:type="dxa"/>
            <w:gridSpan w:val="2"/>
            <w:tcBorders>
              <w:top w:val="single" w:color="auto" w:sz="4" w:space="0"/>
              <w:left w:val="single" w:color="auto" w:sz="4" w:space="0"/>
              <w:bottom w:val="single" w:color="auto" w:sz="4" w:space="0"/>
              <w:right w:val="single" w:color="auto" w:sz="4" w:space="0"/>
            </w:tcBorders>
            <w:vAlign w:val="center"/>
          </w:tcPr>
          <w:p w14:paraId="315B050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（一）满足《中华人民共和国政府采购法》第二十二条规定，提供下列资料：</w:t>
            </w:r>
          </w:p>
        </w:tc>
      </w:tr>
      <w:tr w14:paraId="7833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jc w:val="center"/>
        </w:trPr>
        <w:tc>
          <w:tcPr>
            <w:tcW w:w="910" w:type="dxa"/>
            <w:vMerge w:val="continue"/>
            <w:tcBorders>
              <w:left w:val="single" w:color="auto" w:sz="4" w:space="0"/>
              <w:right w:val="single" w:color="auto" w:sz="4" w:space="0"/>
            </w:tcBorders>
            <w:vAlign w:val="center"/>
          </w:tcPr>
          <w:p w14:paraId="31900CF1">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7E4D46C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75A20AB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具有独立承担民事责任的能力</w:t>
            </w:r>
          </w:p>
        </w:tc>
        <w:tc>
          <w:tcPr>
            <w:tcW w:w="5000" w:type="dxa"/>
            <w:tcBorders>
              <w:top w:val="single" w:color="auto" w:sz="4" w:space="0"/>
              <w:left w:val="single" w:color="auto" w:sz="4" w:space="0"/>
              <w:bottom w:val="single" w:color="auto" w:sz="4" w:space="0"/>
              <w:right w:val="single" w:color="auto" w:sz="4" w:space="0"/>
            </w:tcBorders>
            <w:vAlign w:val="center"/>
          </w:tcPr>
          <w:p w14:paraId="64825CE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提供有效的营业执照或其他组织证明或自然人身份证明</w:t>
            </w:r>
            <w:r>
              <w:rPr>
                <w:rFonts w:hint="eastAsia" w:ascii="宋体" w:hAnsi="宋体" w:eastAsia="宋体" w:cs="宋体"/>
                <w:color w:val="auto"/>
                <w:sz w:val="24"/>
                <w:highlight w:val="none"/>
              </w:rPr>
              <w:t>。</w:t>
            </w:r>
          </w:p>
        </w:tc>
      </w:tr>
      <w:tr w14:paraId="7CFE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2" w:hRule="exact"/>
          <w:jc w:val="center"/>
        </w:trPr>
        <w:tc>
          <w:tcPr>
            <w:tcW w:w="910" w:type="dxa"/>
            <w:vMerge w:val="continue"/>
            <w:tcBorders>
              <w:left w:val="single" w:color="auto" w:sz="4" w:space="0"/>
              <w:right w:val="single" w:color="auto" w:sz="4" w:space="0"/>
            </w:tcBorders>
            <w:vAlign w:val="center"/>
          </w:tcPr>
          <w:p w14:paraId="5B84FCF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17EABAC0">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30B11B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具有良好的商业信誉和健全的财务会计制度</w:t>
            </w:r>
          </w:p>
        </w:tc>
        <w:tc>
          <w:tcPr>
            <w:tcW w:w="5000" w:type="dxa"/>
            <w:tcBorders>
              <w:top w:val="single" w:color="auto" w:sz="4" w:space="0"/>
              <w:left w:val="single" w:color="auto" w:sz="4" w:space="0"/>
              <w:bottom w:val="single" w:color="auto" w:sz="4" w:space="0"/>
              <w:right w:val="single" w:color="auto" w:sz="4" w:space="0"/>
            </w:tcBorders>
            <w:vAlign w:val="center"/>
          </w:tcPr>
          <w:p w14:paraId="7AB496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r>
              <w:rPr>
                <w:rFonts w:hint="eastAsia" w:ascii="宋体" w:hAnsi="宋体" w:eastAsia="宋体" w:cs="宋体"/>
                <w:color w:val="auto"/>
                <w:sz w:val="24"/>
                <w:highlight w:val="none"/>
              </w:rPr>
              <w:t>。</w:t>
            </w:r>
          </w:p>
        </w:tc>
      </w:tr>
      <w:tr w14:paraId="0EEF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exact"/>
          <w:jc w:val="center"/>
        </w:trPr>
        <w:tc>
          <w:tcPr>
            <w:tcW w:w="910" w:type="dxa"/>
            <w:vMerge w:val="continue"/>
            <w:tcBorders>
              <w:left w:val="single" w:color="auto" w:sz="4" w:space="0"/>
              <w:right w:val="single" w:color="auto" w:sz="4" w:space="0"/>
            </w:tcBorders>
            <w:vAlign w:val="center"/>
          </w:tcPr>
          <w:p w14:paraId="3DE70560">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62C6003A">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61038E6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具有履行合同所必需的设备和专业技术能力</w:t>
            </w:r>
          </w:p>
        </w:tc>
        <w:tc>
          <w:tcPr>
            <w:tcW w:w="5000" w:type="dxa"/>
            <w:tcBorders>
              <w:top w:val="single" w:color="auto" w:sz="4" w:space="0"/>
              <w:left w:val="single" w:color="auto" w:sz="4" w:space="0"/>
              <w:bottom w:val="single" w:color="auto" w:sz="4" w:space="0"/>
              <w:right w:val="single" w:color="auto" w:sz="4" w:space="0"/>
            </w:tcBorders>
            <w:vAlign w:val="center"/>
          </w:tcPr>
          <w:p w14:paraId="607BF83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提供相关证明材料或承诺。</w:t>
            </w:r>
          </w:p>
        </w:tc>
      </w:tr>
      <w:tr w14:paraId="7479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1" w:hRule="exact"/>
          <w:jc w:val="center"/>
        </w:trPr>
        <w:tc>
          <w:tcPr>
            <w:tcW w:w="910" w:type="dxa"/>
            <w:vMerge w:val="continue"/>
            <w:tcBorders>
              <w:left w:val="single" w:color="auto" w:sz="4" w:space="0"/>
              <w:right w:val="single" w:color="auto" w:sz="4" w:space="0"/>
            </w:tcBorders>
            <w:vAlign w:val="center"/>
          </w:tcPr>
          <w:p w14:paraId="04D2B3A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22440044">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5CAF35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有依法缴纳税收和社会保障资金的良好记录</w:t>
            </w:r>
          </w:p>
        </w:tc>
        <w:tc>
          <w:tcPr>
            <w:tcW w:w="5000" w:type="dxa"/>
            <w:tcBorders>
              <w:top w:val="single" w:color="auto" w:sz="4" w:space="0"/>
              <w:left w:val="single" w:color="auto" w:sz="4" w:space="0"/>
              <w:bottom w:val="single" w:color="auto" w:sz="4" w:space="0"/>
              <w:right w:val="single" w:color="auto" w:sz="4" w:space="0"/>
            </w:tcBorders>
            <w:vAlign w:val="center"/>
          </w:tcPr>
          <w:p w14:paraId="75E5304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r>
              <w:rPr>
                <w:rFonts w:hint="eastAsia" w:ascii="宋体" w:hAnsi="宋体" w:eastAsia="宋体" w:cs="宋体"/>
                <w:color w:val="auto"/>
                <w:sz w:val="24"/>
                <w:highlight w:val="none"/>
              </w:rPr>
              <w:t>。</w:t>
            </w:r>
          </w:p>
        </w:tc>
      </w:tr>
      <w:tr w14:paraId="494A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1" w:hRule="exact"/>
          <w:jc w:val="center"/>
        </w:trPr>
        <w:tc>
          <w:tcPr>
            <w:tcW w:w="910" w:type="dxa"/>
            <w:vMerge w:val="continue"/>
            <w:tcBorders>
              <w:left w:val="single" w:color="auto" w:sz="4" w:space="0"/>
              <w:right w:val="single" w:color="auto" w:sz="4" w:space="0"/>
            </w:tcBorders>
            <w:vAlign w:val="center"/>
          </w:tcPr>
          <w:p w14:paraId="6988E988">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4473EAB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E0110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w:t>
            </w:r>
          </w:p>
        </w:tc>
        <w:tc>
          <w:tcPr>
            <w:tcW w:w="5000" w:type="dxa"/>
            <w:tcBorders>
              <w:top w:val="single" w:color="auto" w:sz="4" w:space="0"/>
              <w:left w:val="single" w:color="auto" w:sz="4" w:space="0"/>
              <w:bottom w:val="single" w:color="auto" w:sz="4" w:space="0"/>
              <w:right w:val="single" w:color="auto" w:sz="4" w:space="0"/>
            </w:tcBorders>
            <w:vAlign w:val="center"/>
          </w:tcPr>
          <w:p w14:paraId="79E10A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提供书面声明</w:t>
            </w:r>
          </w:p>
        </w:tc>
      </w:tr>
      <w:tr w14:paraId="0C8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8" w:hRule="exact"/>
          <w:jc w:val="center"/>
        </w:trPr>
        <w:tc>
          <w:tcPr>
            <w:tcW w:w="910" w:type="dxa"/>
            <w:vMerge w:val="continue"/>
            <w:tcBorders>
              <w:left w:val="single" w:color="auto" w:sz="4" w:space="0"/>
              <w:right w:val="single" w:color="auto" w:sz="4" w:space="0"/>
            </w:tcBorders>
            <w:vAlign w:val="center"/>
          </w:tcPr>
          <w:p w14:paraId="517D82CA">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570F6A3B">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056B34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法律、行政法规规定的其他条件</w:t>
            </w:r>
          </w:p>
          <w:p w14:paraId="7CB794CE">
            <w:pPr>
              <w:spacing w:line="360" w:lineRule="auto"/>
              <w:ind w:firstLine="480" w:firstLineChars="200"/>
              <w:rPr>
                <w:rFonts w:hint="eastAsia" w:ascii="宋体" w:hAnsi="宋体" w:eastAsia="宋体" w:cs="宋体"/>
                <w:color w:val="auto"/>
                <w:sz w:val="24"/>
                <w:highlight w:val="none"/>
              </w:rPr>
            </w:pPr>
          </w:p>
        </w:tc>
        <w:tc>
          <w:tcPr>
            <w:tcW w:w="5000" w:type="dxa"/>
            <w:tcBorders>
              <w:top w:val="single" w:color="auto" w:sz="4" w:space="0"/>
              <w:left w:val="single" w:color="auto" w:sz="4" w:space="0"/>
              <w:bottom w:val="single" w:color="auto" w:sz="4" w:space="0"/>
              <w:right w:val="single" w:color="auto" w:sz="4" w:space="0"/>
            </w:tcBorders>
            <w:vAlign w:val="center"/>
          </w:tcPr>
          <w:p w14:paraId="29D49FB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5D010E12">
            <w:pPr>
              <w:spacing w:line="360" w:lineRule="auto"/>
              <w:rPr>
                <w:rFonts w:hint="eastAsia" w:ascii="宋体" w:hAnsi="宋体" w:eastAsia="宋体" w:cs="宋体"/>
                <w:color w:val="auto"/>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tc>
      </w:tr>
    </w:tbl>
    <w:p w14:paraId="7D1ADBC3">
      <w:pPr>
        <w:rPr>
          <w:rFonts w:hint="eastAsia" w:ascii="宋体" w:hAnsi="宋体" w:eastAsia="宋体" w:cs="宋体"/>
          <w:b/>
          <w:bCs/>
          <w:color w:val="auto"/>
          <w:kern w:val="44"/>
          <w:sz w:val="36"/>
          <w:szCs w:val="20"/>
          <w:highlight w:val="none"/>
        </w:rPr>
      </w:pPr>
      <w:r>
        <w:rPr>
          <w:rFonts w:hint="eastAsia" w:ascii="宋体" w:hAnsi="宋体" w:eastAsia="宋体" w:cs="宋体"/>
          <w:b/>
          <w:bCs/>
          <w:color w:val="auto"/>
          <w:kern w:val="44"/>
          <w:sz w:val="36"/>
          <w:szCs w:val="20"/>
          <w:highlight w:val="none"/>
        </w:rPr>
        <w:br w:type="page"/>
      </w:r>
    </w:p>
    <w:p w14:paraId="0A6DBBD5">
      <w:pPr>
        <w:pStyle w:val="3"/>
        <w:spacing w:line="240" w:lineRule="auto"/>
        <w:jc w:val="center"/>
        <w:rPr>
          <w:rFonts w:hint="eastAsia" w:ascii="宋体" w:hAnsi="宋体" w:eastAsia="宋体" w:cs="宋体"/>
          <w:bCs/>
          <w:color w:val="auto"/>
          <w:sz w:val="36"/>
          <w:highlight w:val="none"/>
        </w:rPr>
      </w:pPr>
      <w:bookmarkStart w:id="189" w:name="_Toc18944"/>
      <w:bookmarkStart w:id="190" w:name="_Toc19930"/>
      <w:bookmarkStart w:id="191" w:name="_Toc4493"/>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六</w:t>
      </w:r>
      <w:r>
        <w:rPr>
          <w:rFonts w:hint="eastAsia" w:ascii="宋体" w:hAnsi="宋体" w:eastAsia="宋体" w:cs="宋体"/>
          <w:bCs/>
          <w:color w:val="auto"/>
          <w:sz w:val="36"/>
          <w:highlight w:val="none"/>
        </w:rPr>
        <w:t>章  评标办法（综合评分法）</w:t>
      </w:r>
      <w:bookmarkEnd w:id="189"/>
      <w:bookmarkEnd w:id="190"/>
      <w:bookmarkEnd w:id="191"/>
    </w:p>
    <w:p w14:paraId="2ECB94C0">
      <w:pPr>
        <w:jc w:val="center"/>
        <w:rPr>
          <w:rFonts w:hint="eastAsia" w:ascii="宋体" w:hAnsi="宋体" w:eastAsia="宋体" w:cs="宋体"/>
          <w:color w:val="auto"/>
          <w:sz w:val="28"/>
          <w:szCs w:val="36"/>
          <w:highlight w:val="none"/>
        </w:rPr>
      </w:pPr>
      <w:r>
        <w:rPr>
          <w:rFonts w:hint="eastAsia" w:ascii="宋体" w:hAnsi="宋体" w:eastAsia="宋体" w:cs="宋体"/>
          <w:b/>
          <w:bCs/>
          <w:color w:val="auto"/>
          <w:sz w:val="28"/>
          <w:szCs w:val="36"/>
          <w:highlight w:val="none"/>
        </w:rPr>
        <w:t>评标办法前附表</w:t>
      </w:r>
    </w:p>
    <w:p w14:paraId="53165055">
      <w:pPr>
        <w:spacing w:line="480" w:lineRule="exact"/>
        <w:rPr>
          <w:rFonts w:hint="eastAsia" w:ascii="宋体" w:hAnsi="宋体" w:eastAsia="宋体" w:cs="宋体"/>
          <w:b/>
          <w:bCs/>
          <w:color w:val="auto"/>
          <w:kern w:val="0"/>
          <w:sz w:val="24"/>
          <w:highlight w:val="none"/>
        </w:rPr>
      </w:pPr>
      <w:r>
        <w:rPr>
          <w:rFonts w:hint="eastAsia" w:ascii="宋体" w:hAnsi="宋体" w:eastAsia="宋体" w:cs="宋体"/>
          <w:b/>
          <w:bCs/>
          <w:color w:val="auto"/>
          <w:sz w:val="24"/>
          <w:highlight w:val="none"/>
        </w:rPr>
        <w:t>1、形式评审标准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4016"/>
        <w:gridCol w:w="4599"/>
      </w:tblGrid>
      <w:tr w14:paraId="3695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25" w:type="dxa"/>
            <w:vMerge w:val="restart"/>
            <w:tcBorders>
              <w:top w:val="single" w:color="auto" w:sz="4" w:space="0"/>
              <w:left w:val="single" w:color="auto" w:sz="4" w:space="0"/>
              <w:bottom w:val="single" w:color="auto" w:sz="4" w:space="0"/>
              <w:right w:val="single" w:color="auto" w:sz="4" w:space="0"/>
            </w:tcBorders>
            <w:vAlign w:val="center"/>
          </w:tcPr>
          <w:p w14:paraId="1A14AAC4">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形式评审标准</w:t>
            </w:r>
          </w:p>
        </w:tc>
        <w:tc>
          <w:tcPr>
            <w:tcW w:w="4016" w:type="dxa"/>
            <w:tcBorders>
              <w:top w:val="single" w:color="auto" w:sz="4" w:space="0"/>
              <w:left w:val="single" w:color="auto" w:sz="4" w:space="0"/>
              <w:bottom w:val="single" w:color="auto" w:sz="4" w:space="0"/>
              <w:right w:val="single" w:color="auto" w:sz="4" w:space="0"/>
            </w:tcBorders>
            <w:vAlign w:val="center"/>
          </w:tcPr>
          <w:p w14:paraId="25E7EB8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4599" w:type="dxa"/>
            <w:tcBorders>
              <w:top w:val="single" w:color="auto" w:sz="4" w:space="0"/>
              <w:left w:val="single" w:color="auto" w:sz="4" w:space="0"/>
              <w:bottom w:val="single" w:color="auto" w:sz="4" w:space="0"/>
              <w:right w:val="single" w:color="auto" w:sz="4" w:space="0"/>
            </w:tcBorders>
            <w:vAlign w:val="center"/>
          </w:tcPr>
          <w:p w14:paraId="4D43A170">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与营业执照、资质证书一致</w:t>
            </w:r>
          </w:p>
        </w:tc>
      </w:tr>
      <w:tr w14:paraId="0663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1331E0D8">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7B8B8A4B">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投标文件的签署</w:t>
            </w:r>
          </w:p>
        </w:tc>
        <w:tc>
          <w:tcPr>
            <w:tcW w:w="4599" w:type="dxa"/>
            <w:tcBorders>
              <w:top w:val="single" w:color="auto" w:sz="4" w:space="0"/>
              <w:left w:val="single" w:color="auto" w:sz="4" w:space="0"/>
              <w:bottom w:val="single" w:color="auto" w:sz="4" w:space="0"/>
              <w:right w:val="single" w:color="auto" w:sz="4" w:space="0"/>
            </w:tcBorders>
            <w:vAlign w:val="center"/>
          </w:tcPr>
          <w:p w14:paraId="3345588E">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符合第二章“投标人须知”要求</w:t>
            </w:r>
          </w:p>
        </w:tc>
      </w:tr>
      <w:tr w14:paraId="5BB8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23463719">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57BC8815">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报价唯一</w:t>
            </w:r>
          </w:p>
        </w:tc>
        <w:tc>
          <w:tcPr>
            <w:tcW w:w="4599" w:type="dxa"/>
            <w:tcBorders>
              <w:top w:val="single" w:color="auto" w:sz="4" w:space="0"/>
              <w:left w:val="single" w:color="auto" w:sz="4" w:space="0"/>
              <w:bottom w:val="single" w:color="auto" w:sz="4" w:space="0"/>
              <w:right w:val="single" w:color="auto" w:sz="4" w:space="0"/>
            </w:tcBorders>
            <w:vAlign w:val="center"/>
          </w:tcPr>
          <w:p w14:paraId="76BD6AD6">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只能有一个报价</w:t>
            </w:r>
          </w:p>
        </w:tc>
      </w:tr>
      <w:tr w14:paraId="6B86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52D6FF3F">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1D0AF9F1">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法定代表人身份证明或附法定代表人身份证明的授权委托书</w:t>
            </w:r>
          </w:p>
        </w:tc>
        <w:tc>
          <w:tcPr>
            <w:tcW w:w="4599" w:type="dxa"/>
            <w:tcBorders>
              <w:top w:val="single" w:color="auto" w:sz="4" w:space="0"/>
              <w:left w:val="single" w:color="auto" w:sz="4" w:space="0"/>
              <w:bottom w:val="single" w:color="auto" w:sz="4" w:space="0"/>
              <w:right w:val="single" w:color="auto" w:sz="4" w:space="0"/>
            </w:tcBorders>
            <w:vAlign w:val="center"/>
          </w:tcPr>
          <w:p w14:paraId="4923552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符合投标文件格式要求，内容真实有效</w:t>
            </w:r>
          </w:p>
        </w:tc>
      </w:tr>
    </w:tbl>
    <w:p w14:paraId="33024149">
      <w:pPr>
        <w:rPr>
          <w:rFonts w:hint="eastAsia" w:ascii="宋体" w:hAnsi="宋体" w:eastAsia="宋体" w:cs="宋体"/>
          <w:b/>
          <w:bCs/>
          <w:color w:val="auto"/>
          <w:sz w:val="24"/>
          <w:highlight w:val="none"/>
        </w:rPr>
      </w:pPr>
    </w:p>
    <w:p w14:paraId="788F5AC4">
      <w:pPr>
        <w:rPr>
          <w:rFonts w:hint="eastAsia" w:ascii="宋体" w:hAnsi="宋体" w:eastAsia="宋体" w:cs="宋体"/>
          <w:b/>
          <w:bCs/>
          <w:color w:val="auto"/>
          <w:highlight w:val="none"/>
        </w:rPr>
      </w:pPr>
      <w:r>
        <w:rPr>
          <w:rFonts w:hint="eastAsia" w:ascii="宋体" w:hAnsi="宋体" w:eastAsia="宋体" w:cs="宋体"/>
          <w:b/>
          <w:bCs/>
          <w:color w:val="auto"/>
          <w:sz w:val="24"/>
          <w:highlight w:val="none"/>
        </w:rPr>
        <w:t>2、响应性评审标准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011"/>
        <w:gridCol w:w="6604"/>
      </w:tblGrid>
      <w:tr w14:paraId="6CC3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restart"/>
            <w:tcBorders>
              <w:left w:val="single" w:color="auto" w:sz="4" w:space="0"/>
              <w:right w:val="single" w:color="auto" w:sz="4" w:space="0"/>
            </w:tcBorders>
            <w:vAlign w:val="center"/>
          </w:tcPr>
          <w:p w14:paraId="0001ABDF">
            <w:pPr>
              <w:spacing w:before="100" w:beforeAutospacing="1" w:after="100" w:afterAutospacing="1"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响应性评审标准</w:t>
            </w:r>
          </w:p>
        </w:tc>
        <w:tc>
          <w:tcPr>
            <w:tcW w:w="2011" w:type="dxa"/>
            <w:tcBorders>
              <w:top w:val="single" w:color="auto" w:sz="4" w:space="0"/>
              <w:left w:val="single" w:color="auto" w:sz="4" w:space="0"/>
              <w:bottom w:val="single" w:color="auto" w:sz="4" w:space="0"/>
              <w:right w:val="single" w:color="auto" w:sz="4" w:space="0"/>
            </w:tcBorders>
            <w:vAlign w:val="center"/>
          </w:tcPr>
          <w:p w14:paraId="3DD2BD32">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实质性条款</w:t>
            </w:r>
          </w:p>
        </w:tc>
        <w:tc>
          <w:tcPr>
            <w:tcW w:w="6604" w:type="dxa"/>
            <w:tcBorders>
              <w:top w:val="single" w:color="auto" w:sz="4" w:space="0"/>
              <w:left w:val="single" w:color="auto" w:sz="4" w:space="0"/>
              <w:bottom w:val="single" w:color="auto" w:sz="4" w:space="0"/>
              <w:right w:val="single" w:color="auto" w:sz="4" w:space="0"/>
            </w:tcBorders>
            <w:vAlign w:val="center"/>
          </w:tcPr>
          <w:p w14:paraId="625F1DC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6"/>
                <w:kern w:val="0"/>
                <w:sz w:val="24"/>
                <w:highlight w:val="none"/>
              </w:rPr>
              <w:t>符合招标文件中标注“★”号条款的实质性要求</w:t>
            </w:r>
          </w:p>
        </w:tc>
      </w:tr>
      <w:tr w14:paraId="4B9F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continue"/>
            <w:tcBorders>
              <w:left w:val="single" w:color="auto" w:sz="4" w:space="0"/>
              <w:right w:val="single" w:color="auto" w:sz="4" w:space="0"/>
            </w:tcBorders>
            <w:vAlign w:val="center"/>
          </w:tcPr>
          <w:p w14:paraId="6A0AED4C">
            <w:pPr>
              <w:spacing w:before="100" w:beforeAutospacing="1" w:after="100" w:afterAutospacing="1" w:line="360" w:lineRule="auto"/>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403E750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响应价格</w:t>
            </w:r>
          </w:p>
        </w:tc>
        <w:tc>
          <w:tcPr>
            <w:tcW w:w="6604" w:type="dxa"/>
            <w:tcBorders>
              <w:top w:val="single" w:color="auto" w:sz="4" w:space="0"/>
              <w:left w:val="single" w:color="auto" w:sz="4" w:space="0"/>
              <w:bottom w:val="single" w:color="auto" w:sz="4" w:space="0"/>
              <w:right w:val="single" w:color="auto" w:sz="4" w:space="0"/>
            </w:tcBorders>
            <w:vAlign w:val="center"/>
          </w:tcPr>
          <w:p w14:paraId="371C16A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符合第二章“投标人须知”第4项规定</w:t>
            </w:r>
          </w:p>
        </w:tc>
      </w:tr>
      <w:tr w14:paraId="4EF8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continue"/>
            <w:tcBorders>
              <w:left w:val="single" w:color="auto" w:sz="4" w:space="0"/>
              <w:right w:val="single" w:color="auto" w:sz="4" w:space="0"/>
            </w:tcBorders>
            <w:vAlign w:val="center"/>
          </w:tcPr>
          <w:p w14:paraId="31579693">
            <w:pPr>
              <w:spacing w:before="100" w:beforeAutospacing="1" w:after="100" w:afterAutospacing="1" w:line="360" w:lineRule="auto"/>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838662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响应内容</w:t>
            </w:r>
          </w:p>
        </w:tc>
        <w:tc>
          <w:tcPr>
            <w:tcW w:w="6604" w:type="dxa"/>
            <w:tcBorders>
              <w:top w:val="single" w:color="auto" w:sz="4" w:space="0"/>
              <w:left w:val="single" w:color="auto" w:sz="4" w:space="0"/>
              <w:bottom w:val="single" w:color="auto" w:sz="4" w:space="0"/>
              <w:right w:val="single" w:color="auto" w:sz="4" w:space="0"/>
            </w:tcBorders>
            <w:vAlign w:val="center"/>
          </w:tcPr>
          <w:p w14:paraId="76B313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符合第二章“投标人须知”第5项规定</w:t>
            </w:r>
          </w:p>
        </w:tc>
      </w:tr>
      <w:tr w14:paraId="68AE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5" w:type="dxa"/>
            <w:vMerge w:val="continue"/>
            <w:tcBorders>
              <w:left w:val="single" w:color="auto" w:sz="4" w:space="0"/>
              <w:right w:val="single" w:color="auto" w:sz="4" w:space="0"/>
            </w:tcBorders>
            <w:vAlign w:val="center"/>
          </w:tcPr>
          <w:p w14:paraId="21365A8B">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3D3C482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w:t>
            </w:r>
          </w:p>
        </w:tc>
        <w:tc>
          <w:tcPr>
            <w:tcW w:w="6604" w:type="dxa"/>
            <w:tcBorders>
              <w:top w:val="single" w:color="auto" w:sz="4" w:space="0"/>
              <w:left w:val="single" w:color="auto" w:sz="4" w:space="0"/>
              <w:bottom w:val="single" w:color="auto" w:sz="4" w:space="0"/>
              <w:right w:val="single" w:color="auto" w:sz="4" w:space="0"/>
            </w:tcBorders>
            <w:vAlign w:val="center"/>
          </w:tcPr>
          <w:p w14:paraId="4CA81EB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符合第二章“投标人须知”第6项规定</w:t>
            </w:r>
          </w:p>
        </w:tc>
      </w:tr>
      <w:tr w14:paraId="7E7DD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25" w:type="dxa"/>
            <w:vMerge w:val="continue"/>
            <w:tcBorders>
              <w:left w:val="single" w:color="auto" w:sz="4" w:space="0"/>
              <w:right w:val="single" w:color="auto" w:sz="4" w:space="0"/>
            </w:tcBorders>
            <w:vAlign w:val="center"/>
          </w:tcPr>
          <w:p w14:paraId="79371BC8">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5231D2B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质保期</w:t>
            </w:r>
          </w:p>
        </w:tc>
        <w:tc>
          <w:tcPr>
            <w:tcW w:w="6604" w:type="dxa"/>
            <w:tcBorders>
              <w:top w:val="single" w:color="auto" w:sz="4" w:space="0"/>
              <w:left w:val="single" w:color="auto" w:sz="4" w:space="0"/>
              <w:bottom w:val="single" w:color="auto" w:sz="4" w:space="0"/>
              <w:right w:val="single" w:color="auto" w:sz="4" w:space="0"/>
            </w:tcBorders>
            <w:vAlign w:val="center"/>
          </w:tcPr>
          <w:p w14:paraId="5C6DE1D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符合第二章“投标人须知”第8项规定</w:t>
            </w:r>
          </w:p>
        </w:tc>
      </w:tr>
      <w:tr w14:paraId="6F65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25" w:type="dxa"/>
            <w:vMerge w:val="continue"/>
            <w:tcBorders>
              <w:left w:val="single" w:color="auto" w:sz="4" w:space="0"/>
              <w:right w:val="single" w:color="auto" w:sz="4" w:space="0"/>
            </w:tcBorders>
            <w:vAlign w:val="center"/>
          </w:tcPr>
          <w:p w14:paraId="3DD7704C">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CFBF9E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质量标准</w:t>
            </w:r>
          </w:p>
        </w:tc>
        <w:tc>
          <w:tcPr>
            <w:tcW w:w="6604" w:type="dxa"/>
            <w:tcBorders>
              <w:top w:val="single" w:color="auto" w:sz="4" w:space="0"/>
              <w:left w:val="single" w:color="auto" w:sz="4" w:space="0"/>
              <w:bottom w:val="single" w:color="auto" w:sz="4" w:space="0"/>
              <w:right w:val="single" w:color="auto" w:sz="4" w:space="0"/>
            </w:tcBorders>
            <w:vAlign w:val="center"/>
          </w:tcPr>
          <w:p w14:paraId="39AE50F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符合第二章“投标人须知”第9项规定</w:t>
            </w:r>
          </w:p>
        </w:tc>
      </w:tr>
      <w:tr w14:paraId="6865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5" w:type="dxa"/>
            <w:vMerge w:val="continue"/>
            <w:tcBorders>
              <w:left w:val="single" w:color="auto" w:sz="4" w:space="0"/>
              <w:right w:val="single" w:color="auto" w:sz="4" w:space="0"/>
            </w:tcBorders>
            <w:vAlign w:val="center"/>
          </w:tcPr>
          <w:p w14:paraId="0023E68F">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7C50B2C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其他实质性要求</w:t>
            </w:r>
          </w:p>
        </w:tc>
        <w:tc>
          <w:tcPr>
            <w:tcW w:w="6604" w:type="dxa"/>
            <w:tcBorders>
              <w:top w:val="single" w:color="auto" w:sz="4" w:space="0"/>
              <w:left w:val="single" w:color="auto" w:sz="4" w:space="0"/>
              <w:bottom w:val="single" w:color="auto" w:sz="4" w:space="0"/>
              <w:right w:val="single" w:color="auto" w:sz="4" w:space="0"/>
            </w:tcBorders>
            <w:vAlign w:val="center"/>
          </w:tcPr>
          <w:p w14:paraId="3EE8147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6"/>
                <w:kern w:val="0"/>
                <w:sz w:val="24"/>
                <w:highlight w:val="none"/>
              </w:rPr>
              <w:t>符合招标文件规定的其他实质性要求</w:t>
            </w:r>
          </w:p>
        </w:tc>
      </w:tr>
    </w:tbl>
    <w:p w14:paraId="1639B0E6">
      <w:pPr>
        <w:tabs>
          <w:tab w:val="left" w:pos="3327"/>
        </w:tabs>
        <w:rPr>
          <w:rFonts w:hint="eastAsia" w:ascii="宋体" w:hAnsi="宋体" w:eastAsia="宋体" w:cs="宋体"/>
          <w:color w:val="auto"/>
          <w:highlight w:val="none"/>
        </w:rPr>
      </w:pPr>
      <w:r>
        <w:rPr>
          <w:rFonts w:hint="eastAsia" w:ascii="宋体" w:hAnsi="宋体" w:eastAsia="宋体" w:cs="宋体"/>
          <w:color w:val="auto"/>
          <w:highlight w:val="none"/>
        </w:rPr>
        <w:tab/>
      </w:r>
    </w:p>
    <w:p w14:paraId="3E441230">
      <w:pPr>
        <w:spacing w:line="480" w:lineRule="exact"/>
        <w:rPr>
          <w:rFonts w:hint="eastAsia" w:ascii="宋体" w:hAnsi="宋体" w:eastAsia="宋体" w:cs="宋体"/>
          <w:b/>
          <w:bCs/>
          <w:color w:val="auto"/>
          <w:sz w:val="24"/>
          <w:highlight w:val="none"/>
        </w:rPr>
      </w:pPr>
    </w:p>
    <w:p w14:paraId="547AA2D6">
      <w:pPr>
        <w:spacing w:line="480" w:lineRule="exact"/>
        <w:rPr>
          <w:rFonts w:hint="eastAsia" w:ascii="宋体" w:hAnsi="宋体" w:eastAsia="宋体" w:cs="宋体"/>
          <w:b/>
          <w:bCs/>
          <w:color w:val="auto"/>
          <w:sz w:val="24"/>
          <w:highlight w:val="none"/>
        </w:rPr>
      </w:pPr>
    </w:p>
    <w:p w14:paraId="7FC5DF0E">
      <w:pPr>
        <w:spacing w:line="48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3、详细评审（综合评分法评分内容）</w:t>
      </w:r>
    </w:p>
    <w:tbl>
      <w:tblPr>
        <w:tblStyle w:val="42"/>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717"/>
        <w:gridCol w:w="6969"/>
      </w:tblGrid>
      <w:tr w14:paraId="38AF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94" w:type="dxa"/>
            <w:vAlign w:val="center"/>
          </w:tcPr>
          <w:p w14:paraId="4DC8B3DC">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w:t>
            </w:r>
          </w:p>
        </w:tc>
        <w:tc>
          <w:tcPr>
            <w:tcW w:w="1717" w:type="dxa"/>
            <w:vAlign w:val="center"/>
          </w:tcPr>
          <w:p w14:paraId="7BB2A98F">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条款内容</w:t>
            </w:r>
          </w:p>
        </w:tc>
        <w:tc>
          <w:tcPr>
            <w:tcW w:w="6969" w:type="dxa"/>
            <w:vAlign w:val="center"/>
          </w:tcPr>
          <w:p w14:paraId="76AACEED">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编列内容</w:t>
            </w:r>
          </w:p>
        </w:tc>
      </w:tr>
      <w:tr w14:paraId="6946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2811" w:type="dxa"/>
            <w:gridSpan w:val="2"/>
            <w:vAlign w:val="center"/>
          </w:tcPr>
          <w:p w14:paraId="44E90478">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tc>
        <w:tc>
          <w:tcPr>
            <w:tcW w:w="6969" w:type="dxa"/>
            <w:vAlign w:val="center"/>
          </w:tcPr>
          <w:p w14:paraId="7DF48AA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分值构成F1+F2（满分100分）</w:t>
            </w:r>
          </w:p>
          <w:p w14:paraId="4BE438C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注：响应文件满足</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文件全部实质性要求，且按照评审因素的量化指标评审得分最高的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为中标候选人的评标方法。</w:t>
            </w:r>
          </w:p>
        </w:tc>
      </w:tr>
      <w:tr w14:paraId="01E1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094" w:type="dxa"/>
            <w:vAlign w:val="center"/>
          </w:tcPr>
          <w:p w14:paraId="66FEB8EC">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报价部分</w:t>
            </w:r>
          </w:p>
          <w:p w14:paraId="49075AF3">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F1</w:t>
            </w:r>
          </w:p>
        </w:tc>
        <w:tc>
          <w:tcPr>
            <w:tcW w:w="1717" w:type="dxa"/>
            <w:vAlign w:val="center"/>
          </w:tcPr>
          <w:p w14:paraId="6ED61CAF">
            <w:pPr>
              <w:pStyle w:val="38"/>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投标报价</w:t>
            </w:r>
          </w:p>
          <w:p w14:paraId="385141BE">
            <w:pPr>
              <w:pStyle w:val="38"/>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（满分30分）</w:t>
            </w:r>
          </w:p>
        </w:tc>
        <w:tc>
          <w:tcPr>
            <w:tcW w:w="6969" w:type="dxa"/>
            <w:vAlign w:val="center"/>
          </w:tcPr>
          <w:p w14:paraId="02676202">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通过实质性要求审查的报价为有效报价，有效报价方可参与以下公式的计算：</w:t>
            </w:r>
          </w:p>
          <w:p w14:paraId="527CE4C0">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价格分应当采用低价优先法计算，即满足招标文件要求且投标价格最低的投标报价为评标基准价，其价格分为满分。其他投标人的价格分统一按照下列公式计算：</w:t>
            </w:r>
          </w:p>
          <w:p w14:paraId="1ACE0B9E">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kern w:val="0"/>
                <w:sz w:val="24"/>
                <w:szCs w:val="24"/>
                <w:highlight w:val="none"/>
              </w:rPr>
              <w:t>F1＝（评标基准价/评审价）×</w:t>
            </w:r>
            <w:r>
              <w:rPr>
                <w:rFonts w:hint="eastAsia" w:ascii="宋体" w:hAnsi="宋体" w:eastAsia="宋体" w:cs="宋体"/>
                <w:color w:val="auto"/>
                <w:kern w:val="0"/>
                <w:sz w:val="24"/>
                <w:szCs w:val="24"/>
                <w:highlight w:val="none"/>
                <w:lang w:val="en-US" w:eastAsia="zh-CN"/>
              </w:rPr>
              <w:t>30</w:t>
            </w:r>
          </w:p>
        </w:tc>
      </w:tr>
      <w:tr w14:paraId="4265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588" w:hRule="atLeast"/>
        </w:trPr>
        <w:tc>
          <w:tcPr>
            <w:tcW w:w="1094" w:type="dxa"/>
            <w:vMerge w:val="restart"/>
            <w:shd w:val="clear" w:color="auto" w:fill="FFFFFF"/>
            <w:tcMar>
              <w:top w:w="0" w:type="dxa"/>
              <w:left w:w="108" w:type="dxa"/>
              <w:bottom w:w="0" w:type="dxa"/>
              <w:right w:w="108" w:type="dxa"/>
            </w:tcMar>
            <w:vAlign w:val="center"/>
          </w:tcPr>
          <w:p w14:paraId="13AC550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技术部分</w:t>
            </w:r>
          </w:p>
          <w:p w14:paraId="262D819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F2</w:t>
            </w:r>
          </w:p>
        </w:tc>
        <w:tc>
          <w:tcPr>
            <w:tcW w:w="1717" w:type="dxa"/>
            <w:shd w:val="clear" w:color="auto" w:fill="FFFFFF"/>
            <w:tcMar>
              <w:top w:w="0" w:type="dxa"/>
              <w:left w:w="108" w:type="dxa"/>
              <w:bottom w:w="0" w:type="dxa"/>
              <w:right w:w="108" w:type="dxa"/>
            </w:tcMar>
            <w:vAlign w:val="center"/>
          </w:tcPr>
          <w:p w14:paraId="1CFDEB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技术参数响应评审</w:t>
            </w:r>
          </w:p>
          <w:p w14:paraId="6882A066">
            <w:pPr>
              <w:pStyle w:val="2"/>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33</w:t>
            </w:r>
            <w:r>
              <w:rPr>
                <w:rFonts w:hint="eastAsia" w:ascii="宋体" w:hAnsi="宋体" w:eastAsia="宋体" w:cs="宋体"/>
                <w:b w:val="0"/>
                <w:color w:val="auto"/>
                <w:sz w:val="24"/>
                <w:szCs w:val="24"/>
                <w:highlight w:val="none"/>
              </w:rPr>
              <w:t>分）</w:t>
            </w:r>
          </w:p>
        </w:tc>
        <w:tc>
          <w:tcPr>
            <w:tcW w:w="6969" w:type="dxa"/>
            <w:shd w:val="clear" w:color="auto" w:fill="FFFFFF"/>
            <w:tcMar>
              <w:top w:w="0" w:type="dxa"/>
              <w:left w:w="108" w:type="dxa"/>
              <w:bottom w:w="0" w:type="dxa"/>
              <w:right w:w="108" w:type="dxa"/>
            </w:tcMar>
            <w:vAlign w:val="center"/>
          </w:tcPr>
          <w:p w14:paraId="3967291C">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依据</w:t>
            </w:r>
            <w:r>
              <w:rPr>
                <w:rFonts w:hint="eastAsia" w:ascii="宋体" w:hAnsi="宋体" w:eastAsia="宋体" w:cs="宋体"/>
                <w:b/>
                <w:bCs/>
                <w:color w:val="auto"/>
                <w:sz w:val="24"/>
                <w:highlight w:val="none"/>
                <w:lang w:val="en-US" w:eastAsia="zh-CN"/>
              </w:rPr>
              <w:t>投标人的</w:t>
            </w:r>
            <w:r>
              <w:rPr>
                <w:rFonts w:hint="eastAsia" w:ascii="宋体" w:hAnsi="宋体" w:eastAsia="宋体" w:cs="宋体"/>
                <w:b/>
                <w:bCs/>
                <w:color w:val="auto"/>
                <w:sz w:val="24"/>
                <w:highlight w:val="none"/>
              </w:rPr>
              <w:t>投标文件</w:t>
            </w:r>
            <w:r>
              <w:rPr>
                <w:rFonts w:hint="eastAsia" w:ascii="宋体" w:hAnsi="宋体" w:eastAsia="宋体" w:cs="宋体"/>
                <w:b/>
                <w:bCs/>
                <w:color w:val="auto"/>
                <w:sz w:val="24"/>
                <w:highlight w:val="none"/>
                <w:lang w:val="en-US" w:eastAsia="zh-CN"/>
              </w:rPr>
              <w:t>中的</w:t>
            </w:r>
            <w:r>
              <w:rPr>
                <w:rFonts w:hint="eastAsia" w:ascii="宋体" w:hAnsi="宋体" w:eastAsia="宋体" w:cs="宋体"/>
                <w:b/>
                <w:bCs/>
                <w:color w:val="auto"/>
                <w:sz w:val="24"/>
                <w:highlight w:val="none"/>
              </w:rPr>
              <w:t>技术规格偏离表，所投产品主要技术指标、技术参数响应性程度，参数及性能的详细说明书或其它产品相关资料、文字、图片、检测机构出具的检测报告等有效证明材料进行评分：</w:t>
            </w:r>
          </w:p>
          <w:p w14:paraId="47EEFC2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（1）所投产品性能参数标注“▲”号的</w:t>
            </w:r>
            <w:r>
              <w:rPr>
                <w:rFonts w:hint="eastAsia" w:ascii="宋体" w:hAnsi="宋体" w:cs="宋体"/>
                <w:color w:val="auto"/>
                <w:sz w:val="24"/>
                <w:highlight w:val="none"/>
                <w:lang w:val="en-US" w:eastAsia="zh-CN"/>
              </w:rPr>
              <w:t>为</w:t>
            </w:r>
            <w:r>
              <w:rPr>
                <w:rFonts w:hint="eastAsia" w:ascii="宋体" w:hAnsi="宋体" w:eastAsia="宋体" w:cs="宋体"/>
                <w:color w:val="auto"/>
                <w:sz w:val="24"/>
                <w:highlight w:val="none"/>
              </w:rPr>
              <w:t>重要技术参数</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存在一项负偏离的扣</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分，此项满分</w:t>
            </w:r>
            <w:r>
              <w:rPr>
                <w:rFonts w:hint="eastAsia" w:ascii="宋体" w:hAnsi="宋体" w:cs="宋体"/>
                <w:color w:val="auto"/>
                <w:sz w:val="24"/>
                <w:highlight w:val="none"/>
                <w:lang w:val="en-US" w:eastAsia="zh-CN"/>
              </w:rPr>
              <w:t>21</w:t>
            </w:r>
            <w:r>
              <w:rPr>
                <w:rFonts w:hint="eastAsia" w:ascii="宋体" w:hAnsi="宋体" w:eastAsia="宋体" w:cs="宋体"/>
                <w:color w:val="auto"/>
                <w:sz w:val="24"/>
                <w:highlight w:val="none"/>
              </w:rPr>
              <w:t>分，分数扣完为止。</w:t>
            </w:r>
          </w:p>
          <w:p w14:paraId="68BF4691">
            <w:pPr>
              <w:spacing w:line="360" w:lineRule="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（2）非标注“▲”号的</w:t>
            </w:r>
            <w:r>
              <w:rPr>
                <w:rFonts w:hint="eastAsia" w:ascii="宋体" w:hAnsi="宋体" w:cs="宋体"/>
                <w:color w:val="auto"/>
                <w:sz w:val="24"/>
                <w:highlight w:val="none"/>
                <w:lang w:val="en-US" w:eastAsia="zh-CN"/>
              </w:rPr>
              <w:t>为</w:t>
            </w:r>
            <w:r>
              <w:rPr>
                <w:rFonts w:hint="eastAsia" w:ascii="宋体" w:hAnsi="宋体" w:eastAsia="宋体" w:cs="宋体"/>
                <w:color w:val="auto"/>
                <w:sz w:val="24"/>
                <w:highlight w:val="none"/>
              </w:rPr>
              <w:t>一般技术参数，每出现一项负偏离的扣</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分，此项满分</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分，分数扣完为止。</w:t>
            </w:r>
          </w:p>
          <w:p w14:paraId="410DA8EB">
            <w:pPr>
              <w:pStyle w:val="2"/>
              <w:spacing w:line="360" w:lineRule="auto"/>
              <w:rPr>
                <w:rFonts w:hint="eastAsia" w:ascii="宋体" w:hAnsi="宋体" w:eastAsia="宋体" w:cs="宋体"/>
                <w:b w:val="0"/>
                <w:color w:val="auto"/>
                <w:sz w:val="24"/>
                <w:szCs w:val="24"/>
                <w:highlight w:val="none"/>
              </w:rPr>
            </w:pPr>
            <w:r>
              <w:rPr>
                <w:rFonts w:hint="eastAsia" w:ascii="宋体" w:hAnsi="宋体" w:eastAsia="宋体" w:cs="宋体"/>
                <w:bCs/>
                <w:color w:val="auto"/>
                <w:sz w:val="24"/>
                <w:szCs w:val="24"/>
                <w:highlight w:val="none"/>
              </w:rPr>
              <w:t>注：投标人按招标文件中技术偏离表的技术参数要求逐条应答，所提供相关证明材料必须真实，特别对有具体参数要求的指标，投标人必须提供所投设备产品的具体数值，若投标文件中技术支持资料参数与技术条款偏离表应答不符或无支持资料应答的，评标委员会在评审时可以视为不响应该条技术条款的规定；）</w:t>
            </w:r>
          </w:p>
        </w:tc>
      </w:tr>
      <w:tr w14:paraId="37CF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68" w:hRule="atLeast"/>
        </w:trPr>
        <w:tc>
          <w:tcPr>
            <w:tcW w:w="1094" w:type="dxa"/>
            <w:vMerge w:val="continue"/>
            <w:shd w:val="clear" w:color="auto" w:fill="FFFFFF"/>
            <w:tcMar>
              <w:top w:w="0" w:type="dxa"/>
              <w:left w:w="108" w:type="dxa"/>
              <w:bottom w:w="0" w:type="dxa"/>
              <w:right w:w="108" w:type="dxa"/>
            </w:tcMar>
            <w:vAlign w:val="center"/>
          </w:tcPr>
          <w:p w14:paraId="7DBBB209">
            <w:pPr>
              <w:spacing w:line="360" w:lineRule="auto"/>
              <w:jc w:val="center"/>
              <w:rPr>
                <w:rFonts w:hint="eastAsia" w:ascii="宋体" w:hAnsi="宋体" w:eastAsia="宋体" w:cs="宋体"/>
                <w:color w:val="auto"/>
                <w:sz w:val="24"/>
                <w:highlight w:val="none"/>
              </w:rPr>
            </w:pPr>
          </w:p>
        </w:tc>
        <w:tc>
          <w:tcPr>
            <w:tcW w:w="1717" w:type="dxa"/>
            <w:shd w:val="clear" w:color="auto" w:fill="FFFFFF"/>
            <w:tcMar>
              <w:top w:w="0" w:type="dxa"/>
              <w:left w:w="108" w:type="dxa"/>
              <w:bottom w:w="0" w:type="dxa"/>
              <w:right w:w="108" w:type="dxa"/>
            </w:tcMar>
            <w:vAlign w:val="center"/>
          </w:tcPr>
          <w:p w14:paraId="0225882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项目</w:t>
            </w:r>
            <w:r>
              <w:rPr>
                <w:rFonts w:hint="eastAsia" w:ascii="宋体" w:hAnsi="宋体" w:eastAsia="宋体" w:cs="宋体"/>
                <w:color w:val="auto"/>
                <w:sz w:val="24"/>
                <w:highlight w:val="none"/>
              </w:rPr>
              <w:t>实施方案评审</w:t>
            </w:r>
          </w:p>
          <w:p w14:paraId="0CC26440">
            <w:pPr>
              <w:pStyle w:val="2"/>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20</w:t>
            </w:r>
            <w:r>
              <w:rPr>
                <w:rFonts w:hint="eastAsia" w:ascii="宋体" w:hAnsi="宋体" w:eastAsia="宋体" w:cs="宋体"/>
                <w:b w:val="0"/>
                <w:color w:val="auto"/>
                <w:sz w:val="24"/>
                <w:szCs w:val="24"/>
                <w:highlight w:val="none"/>
              </w:rPr>
              <w:t>分）</w:t>
            </w:r>
          </w:p>
        </w:tc>
        <w:tc>
          <w:tcPr>
            <w:tcW w:w="6969" w:type="dxa"/>
            <w:shd w:val="clear" w:color="auto" w:fill="FFFFFF"/>
            <w:tcMar>
              <w:top w:w="0" w:type="dxa"/>
              <w:left w:w="108" w:type="dxa"/>
              <w:bottom w:w="0" w:type="dxa"/>
              <w:right w:w="108" w:type="dxa"/>
            </w:tcMar>
            <w:vAlign w:val="center"/>
          </w:tcPr>
          <w:p w14:paraId="06203523">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根据投标人提供的</w:t>
            </w:r>
            <w:r>
              <w:rPr>
                <w:rFonts w:hint="eastAsia" w:ascii="宋体" w:hAnsi="宋体" w:eastAsia="宋体" w:cs="宋体"/>
                <w:color w:val="auto"/>
                <w:spacing w:val="-2"/>
                <w:sz w:val="24"/>
                <w:highlight w:val="none"/>
              </w:rPr>
              <w:t>项目</w:t>
            </w:r>
            <w:r>
              <w:rPr>
                <w:rFonts w:hint="eastAsia" w:ascii="宋体" w:hAnsi="宋体" w:eastAsia="宋体" w:cs="宋体"/>
                <w:color w:val="auto"/>
                <w:sz w:val="24"/>
                <w:highlight w:val="none"/>
              </w:rPr>
              <w:t>实施方案进行评审，满分</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分，包括（但不限于）以下内容：</w:t>
            </w:r>
          </w:p>
          <w:p w14:paraId="73D404B2">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①</w:t>
            </w:r>
            <w:r>
              <w:rPr>
                <w:rFonts w:hint="eastAsia" w:ascii="宋体" w:hAnsi="宋体" w:eastAsia="宋体" w:cs="宋体"/>
                <w:color w:val="auto"/>
                <w:kern w:val="0"/>
                <w:sz w:val="24"/>
                <w:highlight w:val="none"/>
                <w:lang w:bidi="ar"/>
              </w:rPr>
              <w:t>项目</w:t>
            </w:r>
            <w:r>
              <w:rPr>
                <w:rFonts w:hint="eastAsia" w:ascii="宋体" w:hAnsi="宋体" w:eastAsia="宋体" w:cs="宋体"/>
                <w:color w:val="auto"/>
                <w:kern w:val="0"/>
                <w:sz w:val="24"/>
                <w:highlight w:val="none"/>
                <w:lang w:val="en-US" w:eastAsia="zh-CN" w:bidi="ar"/>
              </w:rPr>
              <w:t>重</w:t>
            </w:r>
            <w:r>
              <w:rPr>
                <w:rFonts w:hint="eastAsia" w:ascii="宋体" w:hAnsi="宋体" w:eastAsia="宋体" w:cs="宋体"/>
                <w:color w:val="auto"/>
                <w:kern w:val="0"/>
                <w:sz w:val="24"/>
                <w:highlight w:val="none"/>
                <w:lang w:bidi="ar"/>
              </w:rPr>
              <w:t>难点分析</w:t>
            </w:r>
            <w:r>
              <w:rPr>
                <w:rFonts w:hint="eastAsia" w:ascii="宋体" w:hAnsi="宋体" w:eastAsia="宋体" w:cs="宋体"/>
                <w:color w:val="auto"/>
                <w:sz w:val="24"/>
                <w:highlight w:val="none"/>
              </w:rPr>
              <w:t>；</w:t>
            </w:r>
          </w:p>
          <w:p w14:paraId="27C50884">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②</w:t>
            </w:r>
            <w:r>
              <w:rPr>
                <w:rFonts w:hint="eastAsia" w:ascii="宋体" w:hAnsi="宋体" w:eastAsia="宋体" w:cs="宋体"/>
                <w:color w:val="auto"/>
                <w:kern w:val="0"/>
                <w:sz w:val="24"/>
                <w:szCs w:val="24"/>
                <w:highlight w:val="none"/>
                <w:lang w:val="en-US" w:eastAsia="zh-CN" w:bidi="ar"/>
              </w:rPr>
              <w:t>供货进度计划安排</w:t>
            </w:r>
            <w:r>
              <w:rPr>
                <w:rFonts w:hint="eastAsia" w:ascii="宋体" w:hAnsi="宋体" w:eastAsia="宋体" w:cs="宋体"/>
                <w:color w:val="auto"/>
                <w:sz w:val="24"/>
                <w:highlight w:val="none"/>
              </w:rPr>
              <w:t>；</w:t>
            </w:r>
          </w:p>
          <w:p w14:paraId="4CE48080">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③包装运输安装调试</w:t>
            </w:r>
            <w:r>
              <w:rPr>
                <w:rFonts w:hint="eastAsia" w:ascii="宋体" w:hAnsi="宋体" w:eastAsia="宋体" w:cs="宋体"/>
                <w:color w:val="auto"/>
                <w:sz w:val="24"/>
                <w:highlight w:val="none"/>
                <w:lang w:val="en-US" w:eastAsia="zh-CN"/>
              </w:rPr>
              <w:t>及验收</w:t>
            </w:r>
            <w:r>
              <w:rPr>
                <w:rFonts w:hint="eastAsia" w:ascii="宋体" w:hAnsi="宋体" w:eastAsia="宋体" w:cs="宋体"/>
                <w:color w:val="auto"/>
                <w:sz w:val="24"/>
                <w:highlight w:val="none"/>
              </w:rPr>
              <w:t>方案；</w:t>
            </w:r>
          </w:p>
          <w:p w14:paraId="21E92720">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④</w:t>
            </w:r>
            <w:r>
              <w:rPr>
                <w:rFonts w:hint="eastAsia" w:ascii="宋体" w:hAnsi="宋体" w:eastAsia="宋体" w:cs="宋体"/>
                <w:color w:val="auto"/>
                <w:kern w:val="0"/>
                <w:sz w:val="24"/>
                <w:highlight w:val="none"/>
                <w:lang w:bidi="ar"/>
              </w:rPr>
              <w:t>培训方案</w:t>
            </w:r>
            <w:r>
              <w:rPr>
                <w:rFonts w:hint="eastAsia" w:ascii="宋体" w:hAnsi="宋体" w:eastAsia="宋体" w:cs="宋体"/>
                <w:color w:val="auto"/>
                <w:kern w:val="0"/>
                <w:sz w:val="24"/>
                <w:highlight w:val="none"/>
                <w:lang w:eastAsia="zh-CN" w:bidi="ar"/>
              </w:rPr>
              <w:t>（</w:t>
            </w:r>
            <w:r>
              <w:rPr>
                <w:rFonts w:hint="eastAsia" w:ascii="宋体" w:hAnsi="宋体" w:eastAsia="宋体" w:cs="宋体"/>
                <w:color w:val="auto"/>
                <w:kern w:val="0"/>
                <w:sz w:val="24"/>
                <w:highlight w:val="none"/>
                <w:lang w:val="en-US" w:eastAsia="zh-CN" w:bidi="ar"/>
              </w:rPr>
              <w:t>包括</w:t>
            </w:r>
            <w:r>
              <w:rPr>
                <w:rFonts w:hint="eastAsia" w:ascii="宋体" w:hAnsi="宋体" w:eastAsia="宋体" w:cs="宋体"/>
                <w:color w:val="auto"/>
                <w:sz w:val="24"/>
                <w:highlight w:val="none"/>
              </w:rPr>
              <w:t>培训计划、培训内容、培训方式</w:t>
            </w:r>
            <w:r>
              <w:rPr>
                <w:rFonts w:hint="eastAsia" w:ascii="宋体" w:hAnsi="宋体" w:eastAsia="宋体" w:cs="宋体"/>
                <w:color w:val="auto"/>
                <w:kern w:val="0"/>
                <w:sz w:val="24"/>
                <w:highlight w:val="none"/>
                <w:lang w:eastAsia="zh-CN" w:bidi="ar"/>
              </w:rPr>
              <w:t>）</w:t>
            </w:r>
            <w:r>
              <w:rPr>
                <w:rFonts w:hint="eastAsia" w:ascii="宋体" w:hAnsi="宋体" w:eastAsia="宋体" w:cs="宋体"/>
                <w:color w:val="auto"/>
                <w:sz w:val="24"/>
                <w:highlight w:val="none"/>
              </w:rPr>
              <w:t>；</w:t>
            </w:r>
          </w:p>
          <w:p w14:paraId="33D37DF9">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⑤</w:t>
            </w:r>
            <w:r>
              <w:rPr>
                <w:rFonts w:hint="eastAsia" w:ascii="宋体" w:hAnsi="宋体" w:eastAsia="宋体" w:cs="宋体"/>
                <w:color w:val="auto"/>
                <w:sz w:val="24"/>
                <w:szCs w:val="24"/>
                <w:highlight w:val="none"/>
                <w:lang w:val="en-US" w:eastAsia="zh-CN"/>
              </w:rPr>
              <w:t>拟派项目团队人员</w:t>
            </w:r>
            <w:r>
              <w:rPr>
                <w:rFonts w:hint="eastAsia" w:ascii="宋体" w:hAnsi="宋体" w:eastAsia="宋体" w:cs="宋体"/>
                <w:color w:val="auto"/>
                <w:kern w:val="0"/>
                <w:sz w:val="24"/>
                <w:highlight w:val="none"/>
                <w:lang w:eastAsia="zh-CN" w:bidi="ar"/>
              </w:rPr>
              <w:t>。</w:t>
            </w:r>
          </w:p>
          <w:p w14:paraId="24551FDB">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061138BC">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w:t>
            </w:r>
          </w:p>
          <w:p w14:paraId="63F80CFA">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2.以上“①、②、③、④、⑤”项内容，每缺少一项内容扣</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分；</w:t>
            </w:r>
          </w:p>
          <w:p w14:paraId="6D6B1F0C">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3.以上任意一项内容中每一处描述有缺陷的扣2分，分数扣完为止。以上内容涉及到的描述缺陷是指：内容不全面、不清晰，无针对性或针对性差、无可行性或可行性差。</w:t>
            </w:r>
          </w:p>
          <w:p w14:paraId="7D9E641D">
            <w:pPr>
              <w:pStyle w:val="15"/>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未提供项目实施方案的不得分。</w:t>
            </w:r>
          </w:p>
        </w:tc>
      </w:tr>
      <w:tr w14:paraId="6B8F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85" w:hRule="atLeast"/>
        </w:trPr>
        <w:tc>
          <w:tcPr>
            <w:tcW w:w="1094" w:type="dxa"/>
            <w:vMerge w:val="continue"/>
            <w:shd w:val="clear" w:color="auto" w:fill="FFFFFF"/>
            <w:tcMar>
              <w:top w:w="0" w:type="dxa"/>
              <w:left w:w="108" w:type="dxa"/>
              <w:bottom w:w="0" w:type="dxa"/>
              <w:right w:w="108" w:type="dxa"/>
            </w:tcMar>
            <w:vAlign w:val="center"/>
          </w:tcPr>
          <w:p w14:paraId="38CD64C3">
            <w:pPr>
              <w:spacing w:line="360" w:lineRule="auto"/>
              <w:jc w:val="center"/>
              <w:rPr>
                <w:rFonts w:hint="eastAsia" w:ascii="宋体" w:hAnsi="宋体" w:eastAsia="宋体" w:cs="宋体"/>
                <w:color w:val="auto"/>
                <w:sz w:val="24"/>
                <w:highlight w:val="none"/>
              </w:rPr>
            </w:pPr>
          </w:p>
        </w:tc>
        <w:tc>
          <w:tcPr>
            <w:tcW w:w="1717" w:type="dxa"/>
            <w:shd w:val="clear" w:color="auto" w:fill="FFFFFF"/>
            <w:tcMar>
              <w:top w:w="0" w:type="dxa"/>
              <w:left w:w="108" w:type="dxa"/>
              <w:bottom w:w="0" w:type="dxa"/>
              <w:right w:w="108" w:type="dxa"/>
            </w:tcMar>
            <w:vAlign w:val="center"/>
          </w:tcPr>
          <w:p w14:paraId="498BB6A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质量保证承诺</w:t>
            </w:r>
            <w:r>
              <w:rPr>
                <w:rFonts w:hint="eastAsia" w:ascii="宋体" w:hAnsi="宋体" w:eastAsia="宋体" w:cs="宋体"/>
                <w:color w:val="auto"/>
                <w:sz w:val="24"/>
                <w:highlight w:val="none"/>
                <w:lang w:val="en-US" w:eastAsia="zh-CN"/>
              </w:rPr>
              <w:t>及</w:t>
            </w:r>
            <w:r>
              <w:rPr>
                <w:rFonts w:hint="eastAsia" w:ascii="宋体" w:hAnsi="宋体" w:eastAsia="宋体" w:cs="宋体"/>
                <w:color w:val="auto"/>
                <w:sz w:val="24"/>
                <w:highlight w:val="none"/>
              </w:rPr>
              <w:t>措施评审</w:t>
            </w:r>
          </w:p>
          <w:p w14:paraId="6F60BBC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（满分</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分）</w:t>
            </w:r>
          </w:p>
        </w:tc>
        <w:tc>
          <w:tcPr>
            <w:tcW w:w="6969" w:type="dxa"/>
            <w:shd w:val="clear" w:color="auto" w:fill="FFFFFF"/>
            <w:tcMar>
              <w:top w:w="0" w:type="dxa"/>
              <w:left w:w="108" w:type="dxa"/>
              <w:bottom w:w="0" w:type="dxa"/>
              <w:right w:w="108" w:type="dxa"/>
            </w:tcMar>
            <w:vAlign w:val="center"/>
          </w:tcPr>
          <w:p w14:paraId="419DAD60">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根据投标人提供的质量保证承诺及措施进行评审，满分</w:t>
            </w:r>
            <w:r>
              <w:rPr>
                <w:rFonts w:hint="eastAsia" w:ascii="宋体" w:hAnsi="宋体" w:eastAsia="宋体" w:cs="宋体"/>
                <w:b w:val="0"/>
                <w:bCs/>
                <w:color w:val="auto"/>
                <w:sz w:val="24"/>
                <w:szCs w:val="24"/>
                <w:highlight w:val="none"/>
                <w:lang w:val="en-US" w:eastAsia="zh-CN"/>
              </w:rPr>
              <w:t>9</w:t>
            </w:r>
            <w:r>
              <w:rPr>
                <w:rFonts w:hint="eastAsia" w:ascii="宋体" w:hAnsi="宋体" w:eastAsia="宋体" w:cs="宋体"/>
                <w:b w:val="0"/>
                <w:bCs/>
                <w:color w:val="auto"/>
                <w:sz w:val="24"/>
                <w:szCs w:val="24"/>
                <w:highlight w:val="none"/>
              </w:rPr>
              <w:t>分，包括（但不限于）以下内容：</w:t>
            </w:r>
          </w:p>
          <w:p w14:paraId="2C74CC51">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①</w:t>
            </w:r>
            <w:r>
              <w:rPr>
                <w:rFonts w:hint="eastAsia" w:ascii="宋体" w:hAnsi="宋体" w:eastAsia="宋体" w:cs="宋体"/>
                <w:color w:val="auto"/>
                <w:sz w:val="24"/>
                <w:highlight w:val="none"/>
                <w:lang w:val="en-US" w:eastAsia="zh-CN"/>
              </w:rPr>
              <w:t>质量保证承诺及措施</w:t>
            </w:r>
            <w:r>
              <w:rPr>
                <w:rFonts w:hint="eastAsia" w:ascii="宋体" w:hAnsi="宋体" w:eastAsia="宋体" w:cs="宋体"/>
                <w:color w:val="auto"/>
                <w:sz w:val="24"/>
                <w:highlight w:val="none"/>
              </w:rPr>
              <w:t>；</w:t>
            </w:r>
          </w:p>
          <w:p w14:paraId="6E328C89">
            <w:pPr>
              <w:adjustRightInd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②</w:t>
            </w:r>
            <w:r>
              <w:rPr>
                <w:rFonts w:hint="eastAsia" w:ascii="宋体" w:hAnsi="宋体" w:eastAsia="宋体" w:cs="宋体"/>
                <w:color w:val="auto"/>
                <w:sz w:val="24"/>
                <w:highlight w:val="none"/>
                <w:lang w:val="en-US" w:eastAsia="zh-CN"/>
              </w:rPr>
              <w:t>违约责任处罚机制</w:t>
            </w:r>
            <w:r>
              <w:rPr>
                <w:rFonts w:hint="eastAsia" w:ascii="宋体" w:hAnsi="宋体" w:eastAsia="宋体" w:cs="宋体"/>
                <w:color w:val="auto"/>
                <w:sz w:val="24"/>
                <w:highlight w:val="none"/>
                <w:lang w:eastAsia="zh-CN"/>
              </w:rPr>
              <w:t>；</w:t>
            </w:r>
          </w:p>
          <w:p w14:paraId="2F571EB1">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w:t>
            </w:r>
            <w:r>
              <w:rPr>
                <w:rFonts w:hint="eastAsia" w:ascii="宋体" w:hAnsi="宋体" w:eastAsia="宋体" w:cs="宋体"/>
                <w:color w:val="auto"/>
                <w:sz w:val="24"/>
                <w:highlight w:val="none"/>
              </w:rPr>
              <w:t>产品质量稳定性说明</w:t>
            </w:r>
            <w:r>
              <w:rPr>
                <w:rFonts w:hint="eastAsia" w:ascii="宋体" w:hAnsi="宋体" w:eastAsia="宋体" w:cs="宋体"/>
                <w:color w:val="auto"/>
                <w:sz w:val="24"/>
                <w:highlight w:val="none"/>
                <w:lang w:eastAsia="zh-CN"/>
              </w:rPr>
              <w:t>。</w:t>
            </w:r>
          </w:p>
          <w:p w14:paraId="0E753731">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注：</w:t>
            </w:r>
          </w:p>
          <w:p w14:paraId="72D6C193">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b w:val="0"/>
                <w:bCs/>
                <w:color w:val="auto"/>
                <w:sz w:val="24"/>
                <w:szCs w:val="24"/>
                <w:highlight w:val="none"/>
                <w:lang w:val="en-US" w:eastAsia="zh-CN"/>
              </w:rPr>
              <w:t>9</w:t>
            </w:r>
            <w:r>
              <w:rPr>
                <w:rFonts w:hint="eastAsia" w:ascii="宋体" w:hAnsi="宋体" w:eastAsia="宋体" w:cs="宋体"/>
                <w:b w:val="0"/>
                <w:bCs/>
                <w:color w:val="auto"/>
                <w:sz w:val="24"/>
                <w:szCs w:val="24"/>
                <w:highlight w:val="none"/>
              </w:rPr>
              <w:t>分；</w:t>
            </w:r>
          </w:p>
          <w:p w14:paraId="65BE110B">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2.以上“①、②、③”项内容，每缺少一项内容扣</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p>
          <w:p w14:paraId="7A399C18">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3.以上任意一项内容中每一处描述有缺陷的扣</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分，分数扣完为止。以上内容涉及到的描述缺陷是指：内容不全面、不清晰，无针对性或针对性差、无可行性或可行性差。</w:t>
            </w:r>
          </w:p>
          <w:p w14:paraId="0F6ED237">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未提供质量保证承诺</w:t>
            </w:r>
            <w:r>
              <w:rPr>
                <w:rFonts w:hint="eastAsia" w:ascii="宋体" w:hAnsi="宋体" w:eastAsia="宋体" w:cs="宋体"/>
                <w:b w:val="0"/>
                <w:bCs/>
                <w:color w:val="auto"/>
                <w:sz w:val="24"/>
                <w:szCs w:val="24"/>
                <w:highlight w:val="none"/>
                <w:lang w:val="en-US" w:eastAsia="zh-CN"/>
              </w:rPr>
              <w:t>及</w:t>
            </w:r>
            <w:r>
              <w:rPr>
                <w:rFonts w:hint="eastAsia" w:ascii="宋体" w:hAnsi="宋体" w:eastAsia="宋体" w:cs="宋体"/>
                <w:b w:val="0"/>
                <w:bCs/>
                <w:color w:val="auto"/>
                <w:sz w:val="24"/>
                <w:szCs w:val="24"/>
                <w:highlight w:val="none"/>
              </w:rPr>
              <w:t>措施的不得分。</w:t>
            </w:r>
          </w:p>
        </w:tc>
      </w:tr>
      <w:tr w14:paraId="7C30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355" w:hRule="atLeast"/>
        </w:trPr>
        <w:tc>
          <w:tcPr>
            <w:tcW w:w="1094" w:type="dxa"/>
            <w:vMerge w:val="continue"/>
            <w:shd w:val="clear" w:color="auto" w:fill="FFFFFF"/>
            <w:tcMar>
              <w:top w:w="0" w:type="dxa"/>
              <w:left w:w="108" w:type="dxa"/>
              <w:bottom w:w="0" w:type="dxa"/>
              <w:right w:w="108" w:type="dxa"/>
            </w:tcMar>
            <w:vAlign w:val="center"/>
          </w:tcPr>
          <w:p w14:paraId="79942A85">
            <w:pPr>
              <w:spacing w:line="360" w:lineRule="auto"/>
              <w:jc w:val="center"/>
              <w:rPr>
                <w:rFonts w:hint="eastAsia" w:ascii="宋体" w:hAnsi="宋体" w:eastAsia="宋体" w:cs="宋体"/>
                <w:color w:val="auto"/>
                <w:sz w:val="24"/>
                <w:highlight w:val="none"/>
              </w:rPr>
            </w:pPr>
          </w:p>
        </w:tc>
        <w:tc>
          <w:tcPr>
            <w:tcW w:w="1717" w:type="dxa"/>
            <w:shd w:val="clear" w:color="auto" w:fill="FFFFFF"/>
            <w:tcMar>
              <w:top w:w="0" w:type="dxa"/>
              <w:left w:w="108" w:type="dxa"/>
              <w:bottom w:w="0" w:type="dxa"/>
              <w:right w:w="108" w:type="dxa"/>
            </w:tcMar>
            <w:vAlign w:val="center"/>
          </w:tcPr>
          <w:p w14:paraId="3CC35782">
            <w:pPr>
              <w:pStyle w:val="2"/>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售后服务方案评审</w:t>
            </w:r>
          </w:p>
          <w:p w14:paraId="447F2DEF">
            <w:pPr>
              <w:pStyle w:val="2"/>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6</w:t>
            </w:r>
            <w:r>
              <w:rPr>
                <w:rFonts w:hint="eastAsia" w:ascii="宋体" w:hAnsi="宋体" w:eastAsia="宋体" w:cs="宋体"/>
                <w:b w:val="0"/>
                <w:color w:val="auto"/>
                <w:sz w:val="24"/>
                <w:szCs w:val="24"/>
                <w:highlight w:val="none"/>
              </w:rPr>
              <w:t>分）</w:t>
            </w:r>
          </w:p>
        </w:tc>
        <w:tc>
          <w:tcPr>
            <w:tcW w:w="6969" w:type="dxa"/>
            <w:shd w:val="clear" w:color="auto" w:fill="FFFFFF"/>
            <w:tcMar>
              <w:top w:w="0" w:type="dxa"/>
              <w:left w:w="108" w:type="dxa"/>
              <w:bottom w:w="0" w:type="dxa"/>
              <w:right w:w="108" w:type="dxa"/>
            </w:tcMar>
            <w:vAlign w:val="center"/>
          </w:tcPr>
          <w:p w14:paraId="5F847445">
            <w:pPr>
              <w:kinsoku w:val="0"/>
              <w:overflowPunct w:val="0"/>
              <w:autoSpaceDE w:val="0"/>
              <w:autoSpaceDN w:val="0"/>
              <w:spacing w:line="360" w:lineRule="auto"/>
              <w:outlineLvl w:val="2"/>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根据投标人提供的售后服务方案进行评审，满分</w:t>
            </w:r>
            <w:r>
              <w:rPr>
                <w:rFonts w:hint="eastAsia" w:ascii="宋体" w:hAnsi="宋体" w:cs="宋体"/>
                <w:b w:val="0"/>
                <w:bCs/>
                <w:color w:val="auto"/>
                <w:sz w:val="24"/>
                <w:highlight w:val="none"/>
                <w:lang w:val="en-US" w:eastAsia="zh-CN"/>
              </w:rPr>
              <w:t>6</w:t>
            </w:r>
            <w:r>
              <w:rPr>
                <w:rFonts w:hint="eastAsia" w:ascii="宋体" w:hAnsi="宋体" w:eastAsia="宋体" w:cs="宋体"/>
                <w:b w:val="0"/>
                <w:bCs/>
                <w:color w:val="auto"/>
                <w:sz w:val="24"/>
                <w:highlight w:val="none"/>
              </w:rPr>
              <w:t>分，包括（但不限于）以下内容：</w:t>
            </w:r>
          </w:p>
          <w:p w14:paraId="416402FE">
            <w:pPr>
              <w:spacing w:line="360" w:lineRule="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sz w:val="24"/>
                <w:highlight w:val="none"/>
              </w:rPr>
              <w:t>①售后服务内容及售后服务人员配置情况</w:t>
            </w:r>
            <w:r>
              <w:rPr>
                <w:rFonts w:hint="eastAsia" w:ascii="宋体" w:hAnsi="宋体" w:eastAsia="宋体" w:cs="宋体"/>
                <w:b w:val="0"/>
                <w:bCs/>
                <w:color w:val="auto"/>
                <w:kern w:val="0"/>
                <w:sz w:val="24"/>
                <w:highlight w:val="none"/>
              </w:rPr>
              <w:t>；</w:t>
            </w:r>
          </w:p>
          <w:p w14:paraId="7BA36EDC">
            <w:pPr>
              <w:spacing w:line="360" w:lineRule="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sz w:val="24"/>
                <w:highlight w:val="none"/>
              </w:rPr>
              <w:t>②</w:t>
            </w:r>
            <w:r>
              <w:rPr>
                <w:rFonts w:hint="eastAsia" w:ascii="宋体" w:hAnsi="宋体" w:eastAsia="宋体" w:cs="宋体"/>
                <w:b w:val="0"/>
                <w:bCs/>
                <w:color w:val="auto"/>
                <w:sz w:val="24"/>
                <w:highlight w:val="none"/>
                <w:lang w:val="en-US" w:eastAsia="zh-CN"/>
              </w:rPr>
              <w:t>应急服务响应时间</w:t>
            </w:r>
            <w:r>
              <w:rPr>
                <w:rFonts w:hint="eastAsia" w:ascii="宋体" w:hAnsi="宋体" w:eastAsia="宋体" w:cs="宋体"/>
                <w:b w:val="0"/>
                <w:bCs/>
                <w:color w:val="auto"/>
                <w:sz w:val="24"/>
                <w:highlight w:val="none"/>
              </w:rPr>
              <w:t>；</w:t>
            </w:r>
          </w:p>
          <w:p w14:paraId="10C6B006">
            <w:pPr>
              <w:spacing w:line="360" w:lineRule="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sz w:val="24"/>
                <w:highlight w:val="none"/>
              </w:rPr>
              <w:t>③售后服务质量保证</w:t>
            </w:r>
            <w:r>
              <w:rPr>
                <w:rFonts w:hint="eastAsia" w:ascii="宋体" w:hAnsi="宋体" w:eastAsia="宋体" w:cs="宋体"/>
                <w:b w:val="0"/>
                <w:bCs/>
                <w:color w:val="auto"/>
                <w:sz w:val="24"/>
                <w:highlight w:val="none"/>
                <w:lang w:val="en-US" w:eastAsia="zh-CN"/>
              </w:rPr>
              <w:t>承诺及</w:t>
            </w:r>
            <w:r>
              <w:rPr>
                <w:rFonts w:hint="eastAsia" w:ascii="宋体" w:hAnsi="宋体" w:eastAsia="宋体" w:cs="宋体"/>
                <w:b w:val="0"/>
                <w:bCs/>
                <w:color w:val="auto"/>
                <w:sz w:val="24"/>
                <w:highlight w:val="none"/>
              </w:rPr>
              <w:t>违约责任</w:t>
            </w:r>
            <w:r>
              <w:rPr>
                <w:rFonts w:hint="eastAsia" w:ascii="宋体" w:hAnsi="宋体" w:eastAsia="宋体" w:cs="宋体"/>
                <w:b w:val="0"/>
                <w:bCs/>
                <w:color w:val="auto"/>
                <w:sz w:val="24"/>
                <w:highlight w:val="none"/>
                <w:lang w:val="en-US" w:eastAsia="zh-CN"/>
              </w:rPr>
              <w:t>措施</w:t>
            </w:r>
            <w:r>
              <w:rPr>
                <w:rFonts w:hint="eastAsia" w:ascii="宋体" w:hAnsi="宋体" w:eastAsia="宋体" w:cs="宋体"/>
                <w:b w:val="0"/>
                <w:bCs/>
                <w:color w:val="auto"/>
                <w:sz w:val="24"/>
                <w:highlight w:val="none"/>
              </w:rPr>
              <w:t>。</w:t>
            </w:r>
          </w:p>
          <w:p w14:paraId="2383B55E">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注：</w:t>
            </w:r>
          </w:p>
          <w:p w14:paraId="0EC34C49">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rPr>
              <w:t>分；</w:t>
            </w:r>
          </w:p>
          <w:p w14:paraId="10272C7C">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2.以上“①、②、③”项内容，每缺少一项内容扣</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w:t>
            </w:r>
          </w:p>
          <w:p w14:paraId="2BFA9AC0">
            <w:pPr>
              <w:pStyle w:val="2"/>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3.以上任意一项内容中每一处描述有缺陷的扣</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分，分数扣完为止。以上内容涉及到的描述缺陷是指：内容不全面、不清晰，无针对性或针对性差、无可行性或可行性差。</w:t>
            </w:r>
          </w:p>
          <w:p w14:paraId="1F113642">
            <w:pPr>
              <w:kinsoku w:val="0"/>
              <w:overflowPunct w:val="0"/>
              <w:autoSpaceDE w:val="0"/>
              <w:autoSpaceDN w:val="0"/>
              <w:spacing w:line="360" w:lineRule="auto"/>
              <w:outlineLvl w:val="2"/>
              <w:rPr>
                <w:rFonts w:hint="eastAsia" w:ascii="宋体" w:hAnsi="宋体" w:eastAsia="宋体" w:cs="宋体"/>
                <w:b w:val="0"/>
                <w:bCs/>
                <w:color w:val="auto"/>
                <w:sz w:val="24"/>
                <w:highlight w:val="none"/>
              </w:rPr>
            </w:pPr>
            <w:r>
              <w:rPr>
                <w:rFonts w:hint="eastAsia" w:ascii="宋体" w:hAnsi="宋体" w:eastAsia="宋体" w:cs="宋体"/>
                <w:b w:val="0"/>
                <w:bCs/>
                <w:color w:val="auto"/>
                <w:sz w:val="24"/>
                <w:szCs w:val="24"/>
                <w:highlight w:val="none"/>
              </w:rPr>
              <w:t>未提供</w:t>
            </w:r>
            <w:r>
              <w:rPr>
                <w:rFonts w:hint="eastAsia" w:ascii="宋体" w:hAnsi="宋体" w:eastAsia="宋体" w:cs="宋体"/>
                <w:b w:val="0"/>
                <w:color w:val="auto"/>
                <w:sz w:val="24"/>
                <w:szCs w:val="24"/>
                <w:highlight w:val="none"/>
              </w:rPr>
              <w:t>售后服务方案</w:t>
            </w:r>
            <w:r>
              <w:rPr>
                <w:rFonts w:hint="eastAsia" w:ascii="宋体" w:hAnsi="宋体" w:eastAsia="宋体" w:cs="宋体"/>
                <w:b w:val="0"/>
                <w:bCs/>
                <w:color w:val="auto"/>
                <w:sz w:val="24"/>
                <w:szCs w:val="24"/>
                <w:highlight w:val="none"/>
              </w:rPr>
              <w:t>的不得分。</w:t>
            </w:r>
          </w:p>
        </w:tc>
      </w:tr>
      <w:tr w14:paraId="5B79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20" w:hRule="atLeast"/>
        </w:trPr>
        <w:tc>
          <w:tcPr>
            <w:tcW w:w="1094" w:type="dxa"/>
            <w:vMerge w:val="continue"/>
            <w:shd w:val="clear" w:color="auto" w:fill="FFFFFF"/>
            <w:tcMar>
              <w:top w:w="0" w:type="dxa"/>
              <w:left w:w="108" w:type="dxa"/>
              <w:bottom w:w="0" w:type="dxa"/>
              <w:right w:w="108" w:type="dxa"/>
            </w:tcMar>
            <w:vAlign w:val="center"/>
          </w:tcPr>
          <w:p w14:paraId="1F00F1AE">
            <w:pPr>
              <w:spacing w:line="360" w:lineRule="auto"/>
              <w:jc w:val="center"/>
              <w:rPr>
                <w:rFonts w:hint="eastAsia" w:ascii="宋体" w:hAnsi="宋体" w:eastAsia="宋体" w:cs="宋体"/>
                <w:color w:val="auto"/>
                <w:sz w:val="24"/>
                <w:highlight w:val="none"/>
              </w:rPr>
            </w:pPr>
          </w:p>
        </w:tc>
        <w:tc>
          <w:tcPr>
            <w:tcW w:w="1717" w:type="dxa"/>
            <w:shd w:val="clear" w:color="auto" w:fill="FFFFFF"/>
            <w:tcMar>
              <w:top w:w="0" w:type="dxa"/>
              <w:left w:w="108" w:type="dxa"/>
              <w:bottom w:w="0" w:type="dxa"/>
              <w:right w:w="108" w:type="dxa"/>
            </w:tcMar>
            <w:vAlign w:val="center"/>
          </w:tcPr>
          <w:p w14:paraId="2686A1B8">
            <w:pPr>
              <w:pStyle w:val="2"/>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类似业绩</w:t>
            </w:r>
            <w:r>
              <w:rPr>
                <w:rFonts w:hint="eastAsia" w:ascii="宋体" w:hAnsi="宋体" w:eastAsia="宋体" w:cs="宋体"/>
                <w:b w:val="0"/>
                <w:color w:val="auto"/>
                <w:sz w:val="24"/>
                <w:szCs w:val="24"/>
                <w:highlight w:val="none"/>
                <w:lang w:val="en-US" w:eastAsia="zh-CN"/>
              </w:rPr>
              <w:t>评审</w:t>
            </w:r>
          </w:p>
          <w:p w14:paraId="0C8F4C5F">
            <w:pPr>
              <w:pStyle w:val="2"/>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2</w:t>
            </w:r>
            <w:r>
              <w:rPr>
                <w:rFonts w:hint="eastAsia" w:ascii="宋体" w:hAnsi="宋体" w:eastAsia="宋体" w:cs="宋体"/>
                <w:b w:val="0"/>
                <w:color w:val="auto"/>
                <w:sz w:val="24"/>
                <w:szCs w:val="24"/>
                <w:highlight w:val="none"/>
              </w:rPr>
              <w:t>分）</w:t>
            </w:r>
          </w:p>
        </w:tc>
        <w:tc>
          <w:tcPr>
            <w:tcW w:w="6969" w:type="dxa"/>
            <w:shd w:val="clear" w:color="auto" w:fill="FFFFFF"/>
            <w:tcMar>
              <w:top w:w="0" w:type="dxa"/>
              <w:left w:w="108" w:type="dxa"/>
              <w:bottom w:w="0" w:type="dxa"/>
              <w:right w:w="108" w:type="dxa"/>
            </w:tcMar>
            <w:vAlign w:val="center"/>
          </w:tcPr>
          <w:p w14:paraId="4B21FD17">
            <w:pPr>
              <w:adjustRightInd w:val="0"/>
              <w:snapToGrid w:val="0"/>
              <w:spacing w:line="360" w:lineRule="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根据</w:t>
            </w:r>
            <w:r>
              <w:rPr>
                <w:rFonts w:hint="eastAsia" w:ascii="宋体" w:hAnsi="宋体" w:eastAsia="宋体" w:cs="宋体"/>
                <w:b w:val="0"/>
                <w:bCs w:val="0"/>
                <w:color w:val="auto"/>
                <w:kern w:val="0"/>
                <w:sz w:val="24"/>
                <w:szCs w:val="24"/>
                <w:highlight w:val="none"/>
                <w:lang w:eastAsia="zh-CN"/>
              </w:rPr>
              <w:t>投标人</w:t>
            </w:r>
            <w:r>
              <w:rPr>
                <w:rFonts w:hint="eastAsia" w:ascii="宋体" w:hAnsi="宋体" w:eastAsia="宋体" w:cs="宋体"/>
                <w:b w:val="0"/>
                <w:bCs w:val="0"/>
                <w:color w:val="auto"/>
                <w:kern w:val="0"/>
                <w:sz w:val="24"/>
                <w:szCs w:val="24"/>
                <w:highlight w:val="none"/>
              </w:rPr>
              <w:t>20</w:t>
            </w:r>
            <w:r>
              <w:rPr>
                <w:rFonts w:hint="eastAsia" w:ascii="宋体" w:hAnsi="宋体" w:eastAsia="宋体" w:cs="宋体"/>
                <w:b w:val="0"/>
                <w:bCs w:val="0"/>
                <w:color w:val="auto"/>
                <w:kern w:val="0"/>
                <w:sz w:val="24"/>
                <w:szCs w:val="24"/>
                <w:highlight w:val="none"/>
                <w:lang w:val="en-US" w:eastAsia="zh-CN"/>
              </w:rPr>
              <w:t>23</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lang w:val="en-US" w:eastAsia="zh-CN"/>
              </w:rPr>
              <w:t>1月1日</w:t>
            </w:r>
            <w:r>
              <w:rPr>
                <w:rFonts w:hint="eastAsia" w:ascii="宋体" w:hAnsi="宋体" w:eastAsia="宋体" w:cs="宋体"/>
                <w:b w:val="0"/>
                <w:bCs w:val="0"/>
                <w:color w:val="auto"/>
                <w:kern w:val="0"/>
                <w:sz w:val="24"/>
                <w:szCs w:val="24"/>
                <w:highlight w:val="none"/>
              </w:rPr>
              <w:t>至</w:t>
            </w:r>
            <w:r>
              <w:rPr>
                <w:rFonts w:hint="eastAsia" w:ascii="宋体" w:hAnsi="宋体" w:eastAsia="宋体" w:cs="宋体"/>
                <w:b w:val="0"/>
                <w:bCs w:val="0"/>
                <w:color w:val="auto"/>
                <w:kern w:val="0"/>
                <w:sz w:val="24"/>
                <w:szCs w:val="24"/>
                <w:highlight w:val="none"/>
                <w:lang w:eastAsia="zh-CN"/>
              </w:rPr>
              <w:t>投标文件</w:t>
            </w:r>
            <w:r>
              <w:rPr>
                <w:rFonts w:hint="eastAsia" w:ascii="宋体" w:hAnsi="宋体" w:eastAsia="宋体" w:cs="宋体"/>
                <w:b w:val="0"/>
                <w:bCs w:val="0"/>
                <w:color w:val="auto"/>
                <w:kern w:val="0"/>
                <w:sz w:val="24"/>
                <w:szCs w:val="24"/>
                <w:highlight w:val="none"/>
              </w:rPr>
              <w:t>提交截止时间前已完成或正在实施过程中的类似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进行评价打分，每提供一个类似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得</w:t>
            </w:r>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rPr>
              <w:t>分，</w:t>
            </w:r>
            <w:r>
              <w:rPr>
                <w:rFonts w:hint="eastAsia" w:ascii="宋体" w:hAnsi="宋体" w:eastAsia="宋体" w:cs="宋体"/>
                <w:b w:val="0"/>
                <w:bCs w:val="0"/>
                <w:color w:val="auto"/>
                <w:kern w:val="0"/>
                <w:sz w:val="24"/>
                <w:szCs w:val="24"/>
                <w:highlight w:val="none"/>
                <w:lang w:eastAsia="zh-CN"/>
              </w:rPr>
              <w:t>分数</w:t>
            </w:r>
            <w:r>
              <w:rPr>
                <w:rFonts w:hint="eastAsia" w:ascii="宋体" w:hAnsi="宋体" w:eastAsia="宋体" w:cs="宋体"/>
                <w:b w:val="0"/>
                <w:bCs w:val="0"/>
                <w:color w:val="auto"/>
                <w:kern w:val="0"/>
                <w:sz w:val="24"/>
                <w:szCs w:val="24"/>
                <w:highlight w:val="none"/>
              </w:rPr>
              <w:t>加满为止。</w:t>
            </w:r>
          </w:p>
          <w:p w14:paraId="364496BC">
            <w:pPr>
              <w:adjustRightInd w:val="0"/>
              <w:snapToGri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kern w:val="0"/>
                <w:sz w:val="24"/>
                <w:szCs w:val="24"/>
                <w:highlight w:val="none"/>
              </w:rPr>
              <w:t>注：</w:t>
            </w:r>
            <w:r>
              <w:rPr>
                <w:rFonts w:hint="eastAsia" w:ascii="宋体" w:hAnsi="宋体" w:eastAsia="宋体" w:cs="宋体"/>
                <w:b/>
                <w:bCs/>
                <w:color w:val="auto"/>
                <w:kern w:val="0"/>
                <w:sz w:val="24"/>
                <w:szCs w:val="24"/>
                <w:highlight w:val="none"/>
                <w:lang w:eastAsia="zh-CN"/>
              </w:rPr>
              <w:t>投标人</w:t>
            </w:r>
            <w:r>
              <w:rPr>
                <w:rFonts w:hint="eastAsia" w:ascii="宋体" w:hAnsi="宋体" w:eastAsia="宋体" w:cs="宋体"/>
                <w:b/>
                <w:bCs/>
                <w:color w:val="auto"/>
                <w:kern w:val="0"/>
                <w:sz w:val="24"/>
                <w:szCs w:val="24"/>
                <w:highlight w:val="none"/>
              </w:rPr>
              <w:t>须提供类似</w:t>
            </w:r>
            <w:r>
              <w:rPr>
                <w:rFonts w:hint="eastAsia" w:ascii="宋体" w:hAnsi="宋体" w:eastAsia="宋体" w:cs="宋体"/>
                <w:b/>
                <w:bCs/>
                <w:color w:val="auto"/>
                <w:kern w:val="0"/>
                <w:sz w:val="24"/>
                <w:szCs w:val="24"/>
                <w:highlight w:val="none"/>
                <w:lang w:val="en-US" w:eastAsia="zh-CN"/>
              </w:rPr>
              <w:t>业绩</w:t>
            </w:r>
            <w:r>
              <w:rPr>
                <w:rFonts w:hint="eastAsia" w:ascii="宋体" w:hAnsi="宋体" w:eastAsia="宋体" w:cs="宋体"/>
                <w:b/>
                <w:bCs/>
                <w:color w:val="auto"/>
                <w:kern w:val="0"/>
                <w:sz w:val="24"/>
                <w:szCs w:val="24"/>
                <w:highlight w:val="none"/>
              </w:rPr>
              <w:t>的合同或中标/成交通知书</w:t>
            </w:r>
            <w:r>
              <w:rPr>
                <w:rFonts w:hint="eastAsia" w:ascii="宋体" w:hAnsi="宋体" w:eastAsia="宋体" w:cs="宋体"/>
                <w:b/>
                <w:bCs/>
                <w:color w:val="auto"/>
                <w:kern w:val="0"/>
                <w:sz w:val="24"/>
                <w:szCs w:val="24"/>
                <w:highlight w:val="none"/>
                <w:lang w:val="en-US" w:eastAsia="zh-CN"/>
              </w:rPr>
              <w:t>扫描件</w:t>
            </w:r>
            <w:r>
              <w:rPr>
                <w:rFonts w:hint="eastAsia" w:ascii="宋体" w:hAnsi="宋体" w:eastAsia="宋体" w:cs="宋体"/>
                <w:b/>
                <w:bCs/>
                <w:color w:val="auto"/>
                <w:kern w:val="0"/>
                <w:sz w:val="24"/>
                <w:szCs w:val="24"/>
                <w:highlight w:val="none"/>
              </w:rPr>
              <w:t>等证明材料，无证明材料或未按要求提供证明材料或证明材料无法体现内容的，不予认可。日期以合同签订日期或中标/成交通知书日期为准。</w:t>
            </w:r>
          </w:p>
        </w:tc>
      </w:tr>
    </w:tbl>
    <w:p w14:paraId="75DFC3E3">
      <w:pPr>
        <w:spacing w:line="360" w:lineRule="auto"/>
        <w:ind w:firstLine="480" w:firstLineChars="200"/>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注：1.上述表中按每项评审要求所涉及到的所有资料，</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必须认真分类放于</w:t>
      </w:r>
      <w:r>
        <w:rPr>
          <w:rFonts w:hint="eastAsia" w:ascii="宋体" w:hAnsi="宋体" w:eastAsia="宋体" w:cs="宋体"/>
          <w:color w:val="auto"/>
          <w:sz w:val="24"/>
          <w:highlight w:val="none"/>
          <w:shd w:val="clear" w:color="auto" w:fill="FFFFFF"/>
          <w:lang w:val="en-US" w:eastAsia="zh-CN"/>
        </w:rPr>
        <w:t>投标</w:t>
      </w:r>
      <w:r>
        <w:rPr>
          <w:rFonts w:hint="eastAsia" w:ascii="宋体" w:hAnsi="宋体" w:eastAsia="宋体" w:cs="宋体"/>
          <w:color w:val="auto"/>
          <w:sz w:val="24"/>
          <w:highlight w:val="none"/>
          <w:shd w:val="clear" w:color="auto" w:fill="FFFFFF"/>
        </w:rPr>
        <w:t>文件中。评标委员会成员按以上详细评分标准规定及</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内容自主独立打分。</w:t>
      </w:r>
    </w:p>
    <w:p w14:paraId="246ADB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color="auto" w:fill="FFFFFF"/>
        </w:rPr>
        <w:t>2.综合得分计算规则：取所有</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的评审评分计算算术平均值，最后得分保留两位小数，第三位四舍五入。</w:t>
      </w:r>
    </w:p>
    <w:p w14:paraId="1F3C9AFD">
      <w:pPr>
        <w:pStyle w:val="4"/>
        <w:spacing w:before="0"/>
        <w:rPr>
          <w:rFonts w:hint="eastAsia" w:ascii="宋体" w:hAnsi="宋体" w:eastAsia="宋体" w:cs="宋体"/>
          <w:color w:val="auto"/>
          <w:sz w:val="24"/>
          <w:szCs w:val="24"/>
          <w:highlight w:val="none"/>
        </w:rPr>
      </w:pPr>
      <w:bookmarkStart w:id="192" w:name="_Toc20478"/>
      <w:bookmarkStart w:id="193" w:name="_Toc5011"/>
      <w:bookmarkStart w:id="194" w:name="_Toc24172"/>
      <w:bookmarkStart w:id="195" w:name="_Toc2729"/>
      <w:bookmarkStart w:id="196" w:name="_Toc14243"/>
      <w:bookmarkStart w:id="197" w:name="_Toc25646"/>
      <w:bookmarkStart w:id="198" w:name="_Toc11993"/>
      <w:r>
        <w:rPr>
          <w:rFonts w:hint="eastAsia" w:ascii="宋体" w:hAnsi="宋体" w:eastAsia="宋体" w:cs="宋体"/>
          <w:color w:val="auto"/>
          <w:sz w:val="24"/>
          <w:szCs w:val="24"/>
          <w:highlight w:val="none"/>
        </w:rPr>
        <w:t>1. 评标方法</w:t>
      </w:r>
      <w:bookmarkEnd w:id="192"/>
      <w:bookmarkEnd w:id="193"/>
      <w:bookmarkEnd w:id="194"/>
      <w:bookmarkEnd w:id="195"/>
      <w:bookmarkEnd w:id="196"/>
      <w:bookmarkEnd w:id="197"/>
      <w:bookmarkEnd w:id="198"/>
    </w:p>
    <w:p w14:paraId="7312A184">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本次评标采用综合评分法。评标委员会对通过资格审查、符合性审查的投标文件，按照本章第2 款规定的评分标准进行打分，并按得分由高到低顺序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2CCB3B57">
      <w:pPr>
        <w:pStyle w:val="4"/>
        <w:spacing w:before="0"/>
        <w:rPr>
          <w:rFonts w:hint="eastAsia" w:ascii="宋体" w:hAnsi="宋体" w:eastAsia="宋体" w:cs="宋体"/>
          <w:color w:val="auto"/>
          <w:sz w:val="24"/>
          <w:szCs w:val="24"/>
          <w:highlight w:val="none"/>
        </w:rPr>
      </w:pPr>
      <w:bookmarkStart w:id="199" w:name="_Toc17968"/>
      <w:bookmarkStart w:id="200" w:name="_Toc22803"/>
      <w:bookmarkStart w:id="201" w:name="_Toc29502"/>
      <w:bookmarkStart w:id="202" w:name="_Toc22678"/>
      <w:bookmarkStart w:id="203" w:name="_Toc15306"/>
      <w:bookmarkStart w:id="204" w:name="_Toc29912"/>
      <w:bookmarkStart w:id="205" w:name="_Toc14328"/>
      <w:r>
        <w:rPr>
          <w:rFonts w:hint="eastAsia" w:ascii="宋体" w:hAnsi="宋体" w:eastAsia="宋体" w:cs="宋体"/>
          <w:color w:val="auto"/>
          <w:sz w:val="24"/>
          <w:szCs w:val="24"/>
          <w:highlight w:val="none"/>
        </w:rPr>
        <w:t>2. 评审标准</w:t>
      </w:r>
      <w:bookmarkEnd w:id="199"/>
      <w:bookmarkEnd w:id="200"/>
      <w:bookmarkEnd w:id="201"/>
      <w:bookmarkEnd w:id="202"/>
      <w:bookmarkEnd w:id="203"/>
      <w:bookmarkEnd w:id="204"/>
      <w:bookmarkEnd w:id="205"/>
    </w:p>
    <w:p w14:paraId="0BB05226">
      <w:pPr>
        <w:pStyle w:val="5"/>
        <w:spacing w:before="0"/>
        <w:rPr>
          <w:rFonts w:hint="eastAsia" w:ascii="宋体" w:hAnsi="宋体" w:eastAsia="宋体" w:cs="宋体"/>
          <w:color w:val="auto"/>
          <w:sz w:val="24"/>
          <w:szCs w:val="24"/>
          <w:highlight w:val="none"/>
        </w:rPr>
      </w:pPr>
      <w:bookmarkStart w:id="206" w:name="_Toc1947"/>
      <w:bookmarkStart w:id="207" w:name="_Toc8601"/>
      <w:bookmarkStart w:id="208" w:name="_Toc8316"/>
      <w:r>
        <w:rPr>
          <w:rFonts w:hint="eastAsia" w:ascii="宋体" w:hAnsi="宋体" w:eastAsia="宋体" w:cs="宋体"/>
          <w:color w:val="auto"/>
          <w:sz w:val="24"/>
          <w:szCs w:val="24"/>
          <w:highlight w:val="none"/>
        </w:rPr>
        <w:t>2.1 符合性评审标准</w:t>
      </w:r>
      <w:bookmarkEnd w:id="206"/>
      <w:bookmarkEnd w:id="207"/>
      <w:bookmarkEnd w:id="208"/>
    </w:p>
    <w:p w14:paraId="064C319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符合性审查标准：依据招标文件的规定，从投标文件的有效性、完整性和对招标文件的响应程度进行审查，以确定是否对招标文件的实质性要求作出响应；见评标办法前附表。</w:t>
      </w:r>
    </w:p>
    <w:p w14:paraId="3417CAD2">
      <w:pPr>
        <w:pStyle w:val="5"/>
        <w:spacing w:before="0"/>
        <w:rPr>
          <w:rFonts w:hint="eastAsia" w:ascii="宋体" w:hAnsi="宋体" w:eastAsia="宋体" w:cs="宋体"/>
          <w:color w:val="auto"/>
          <w:sz w:val="24"/>
          <w:szCs w:val="24"/>
          <w:highlight w:val="none"/>
        </w:rPr>
      </w:pPr>
      <w:bookmarkStart w:id="209" w:name="_Toc687"/>
      <w:bookmarkStart w:id="210" w:name="_Toc24559"/>
      <w:bookmarkStart w:id="211" w:name="_Toc7841"/>
      <w:r>
        <w:rPr>
          <w:rFonts w:hint="eastAsia" w:ascii="宋体" w:hAnsi="宋体" w:eastAsia="宋体" w:cs="宋体"/>
          <w:color w:val="auto"/>
          <w:sz w:val="24"/>
          <w:szCs w:val="24"/>
          <w:highlight w:val="none"/>
        </w:rPr>
        <w:t>2.2 分值构成与评分标准</w:t>
      </w:r>
      <w:bookmarkEnd w:id="209"/>
      <w:bookmarkEnd w:id="210"/>
      <w:bookmarkEnd w:id="211"/>
    </w:p>
    <w:p w14:paraId="0FCCA705">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分值构成</w:t>
      </w:r>
    </w:p>
    <w:p w14:paraId="39301E4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（1）报价部分：见评标办法前附表；</w:t>
      </w:r>
    </w:p>
    <w:p w14:paraId="0606F4E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53EEB4C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评标基准价计算方法：见评标办法前附表。</w:t>
      </w:r>
    </w:p>
    <w:p w14:paraId="07996B1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 评分标准</w:t>
      </w:r>
    </w:p>
    <w:p w14:paraId="23AD36EE">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按招标文件中规定的评标方法和标准，对符合性评审合格的投标文件进行商务和技术评估，综合比较与评价。</w:t>
      </w:r>
    </w:p>
    <w:p w14:paraId="47211470">
      <w:pPr>
        <w:pStyle w:val="21"/>
        <w:tabs>
          <w:tab w:val="left" w:pos="2472"/>
        </w:tabs>
        <w:spacing w:line="360" w:lineRule="auto"/>
        <w:ind w:firstLine="480" w:firstLineChars="200"/>
        <w:rPr>
          <w:rFonts w:hint="eastAsia" w:ascii="宋体" w:hAnsi="宋体" w:eastAsia="宋体" w:cs="宋体"/>
          <w:color w:val="auto"/>
          <w:sz w:val="24"/>
          <w:szCs w:val="24"/>
          <w:highlight w:val="none"/>
        </w:rPr>
      </w:pPr>
      <w:bookmarkStart w:id="212" w:name="_Toc21678"/>
      <w:bookmarkStart w:id="213" w:name="_Toc12941"/>
      <w:r>
        <w:rPr>
          <w:rFonts w:hint="eastAsia" w:ascii="宋体" w:hAnsi="宋体" w:eastAsia="宋体" w:cs="宋体"/>
          <w:color w:val="auto"/>
          <w:sz w:val="24"/>
          <w:szCs w:val="24"/>
          <w:highlight w:val="none"/>
        </w:rPr>
        <w:t>（1）报价部分：见评标办法前附表；</w:t>
      </w:r>
    </w:p>
    <w:p w14:paraId="5B19ED9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0CBBCE90">
      <w:pPr>
        <w:pStyle w:val="4"/>
        <w:spacing w:before="0"/>
        <w:rPr>
          <w:rFonts w:hint="eastAsia" w:ascii="宋体" w:hAnsi="宋体" w:eastAsia="宋体" w:cs="宋体"/>
          <w:color w:val="auto"/>
          <w:sz w:val="24"/>
          <w:szCs w:val="24"/>
          <w:highlight w:val="none"/>
        </w:rPr>
      </w:pPr>
      <w:bookmarkStart w:id="214" w:name="_Toc24772"/>
      <w:bookmarkStart w:id="215" w:name="_Toc19303"/>
      <w:bookmarkStart w:id="216" w:name="_Toc29542"/>
      <w:bookmarkStart w:id="217" w:name="_Toc6249"/>
      <w:bookmarkStart w:id="218" w:name="_Toc4784"/>
      <w:r>
        <w:rPr>
          <w:rFonts w:hint="eastAsia" w:ascii="宋体" w:hAnsi="宋体" w:eastAsia="宋体" w:cs="宋体"/>
          <w:color w:val="auto"/>
          <w:sz w:val="24"/>
          <w:szCs w:val="24"/>
          <w:highlight w:val="none"/>
        </w:rPr>
        <w:t>3. 评标程序</w:t>
      </w:r>
      <w:bookmarkEnd w:id="212"/>
      <w:bookmarkEnd w:id="213"/>
      <w:bookmarkEnd w:id="214"/>
      <w:bookmarkEnd w:id="215"/>
      <w:bookmarkEnd w:id="216"/>
      <w:bookmarkEnd w:id="217"/>
      <w:bookmarkEnd w:id="218"/>
    </w:p>
    <w:p w14:paraId="1BF01998">
      <w:pPr>
        <w:pStyle w:val="5"/>
        <w:spacing w:before="0"/>
        <w:rPr>
          <w:rFonts w:hint="eastAsia" w:ascii="宋体" w:hAnsi="宋体" w:eastAsia="宋体" w:cs="宋体"/>
          <w:color w:val="auto"/>
          <w:sz w:val="24"/>
          <w:szCs w:val="24"/>
          <w:highlight w:val="none"/>
        </w:rPr>
      </w:pPr>
      <w:bookmarkStart w:id="219" w:name="_Toc22011"/>
      <w:bookmarkStart w:id="220" w:name="_Toc17113"/>
      <w:bookmarkStart w:id="221" w:name="_Toc18836"/>
      <w:r>
        <w:rPr>
          <w:rFonts w:hint="eastAsia" w:ascii="宋体" w:hAnsi="宋体" w:eastAsia="宋体" w:cs="宋体"/>
          <w:color w:val="auto"/>
          <w:sz w:val="24"/>
          <w:szCs w:val="24"/>
          <w:highlight w:val="none"/>
        </w:rPr>
        <w:t>3.1 符合性评审</w:t>
      </w:r>
      <w:bookmarkEnd w:id="219"/>
      <w:bookmarkEnd w:id="220"/>
      <w:bookmarkEnd w:id="221"/>
    </w:p>
    <w:p w14:paraId="6512A74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评标委员会依据本章第1项、第2项规定的标准对投标文件进行符合性评审。有一项不符合评审标准的，作废标处理。</w:t>
      </w:r>
    </w:p>
    <w:p w14:paraId="17A8E89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投标人有以下情形之一的，其投标作废标处理：</w:t>
      </w:r>
    </w:p>
    <w:p w14:paraId="45F01531">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（1）串通投标或弄虚作假或有其他违法行为的；</w:t>
      </w:r>
    </w:p>
    <w:p w14:paraId="2669C9F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（2）不按评标委员会要求澄清、说明或补正的。</w:t>
      </w:r>
    </w:p>
    <w:p w14:paraId="43753E40">
      <w:pPr>
        <w:pStyle w:val="5"/>
        <w:spacing w:before="0"/>
        <w:rPr>
          <w:rFonts w:hint="eastAsia" w:ascii="宋体" w:hAnsi="宋体" w:eastAsia="宋体" w:cs="宋体"/>
          <w:color w:val="auto"/>
          <w:sz w:val="24"/>
          <w:szCs w:val="24"/>
          <w:highlight w:val="none"/>
        </w:rPr>
      </w:pPr>
      <w:bookmarkStart w:id="222" w:name="_Toc16405"/>
      <w:bookmarkStart w:id="223" w:name="_Toc13000"/>
      <w:bookmarkStart w:id="224" w:name="_Toc11496"/>
      <w:r>
        <w:rPr>
          <w:rFonts w:hint="eastAsia" w:ascii="宋体" w:hAnsi="宋体" w:eastAsia="宋体" w:cs="宋体"/>
          <w:color w:val="auto"/>
          <w:sz w:val="24"/>
          <w:szCs w:val="24"/>
          <w:highlight w:val="none"/>
        </w:rPr>
        <w:t>3.2 详细评审</w:t>
      </w:r>
      <w:bookmarkEnd w:id="222"/>
      <w:bookmarkEnd w:id="223"/>
      <w:bookmarkEnd w:id="224"/>
    </w:p>
    <w:p w14:paraId="03E20854">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评标委员会按本章第2款规定的量化因素和分值进行打分，并计算出投标人的评标总得分。</w:t>
      </w:r>
    </w:p>
    <w:p w14:paraId="11662149">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（1）按本章规定的评审因素和分值对技术部分计算出得分；</w:t>
      </w:r>
    </w:p>
    <w:p w14:paraId="1617ABC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（2）按本章规定的评审因素和分值对商务部分计算出得分；</w:t>
      </w:r>
    </w:p>
    <w:p w14:paraId="252615B0">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3.2.2技术部分和商务部分得分由评标委员会成员独立评分，计算各投标人得分的算术平均值计入各投标人总分。</w:t>
      </w:r>
    </w:p>
    <w:p w14:paraId="411AC858">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highlight w:val="none"/>
        </w:rPr>
        <w:t>3.2.3</w:t>
      </w:r>
      <w:r>
        <w:rPr>
          <w:rFonts w:hint="eastAsia" w:ascii="宋体" w:hAnsi="宋体" w:eastAsia="宋体" w:cs="宋体"/>
          <w:b/>
          <w:color w:val="auto"/>
          <w:sz w:val="24"/>
          <w:szCs w:val="24"/>
          <w:highlight w:val="none"/>
          <w:lang w:val="en-US" w:eastAsia="zh-CN"/>
        </w:rPr>
        <w:t>经评标委员会（三分之二以上评委）认定：（一）投标（响应）报价低于全部通过符合性审查投标人投标（响应）报价平均值50%的，即投标（响应）报价&lt;全部通过符合性审查投标人投标（响应）报价平均值×50%；（二）投标（响应）报价低于通过符合性审查且报价次低投标人投标（响应）报价50%的，即投标（响应）报价&lt;通过符合性审查且报价次低投标人投标（响应）报价×50%；（三）投标（响应）报价低于采购项目最高限价45%的，即投标（响应）报价&lt;采购项目最高限价×45%；（四）其他评审委员会认为投标人报价过低，有可能影响产品质量或者不能诚信履约的情形。</w:t>
      </w:r>
    </w:p>
    <w:p w14:paraId="57721C4F">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评审委员会启动异常低价投标（响应）审查后，应当要求相关投标人在评审现场合理的时间内提供书面说明及必要的证明材料，对投标（响应）价格作出解释。书面说明、证明材料主要是项目具体成本测算等与报价合理性相关的说明、材料。</w:t>
      </w:r>
    </w:p>
    <w:p w14:paraId="3B84B5C8">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3.2.4投标人的报价应当保持单项价格的合理性，严禁出现不平衡报价的情况，项目采购结束后，采购人有权对各单项价格进行核查，对于严重超过市场价格的单价，被认定为不平衡报价的单项，如果发生数量变动，将按照有利于采购人的单价进行认价。</w:t>
      </w:r>
    </w:p>
    <w:p w14:paraId="6D3E7D0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3.2.5使用综合评分法的采购项目，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114EE79C">
      <w:pPr>
        <w:pStyle w:val="5"/>
        <w:spacing w:before="0"/>
        <w:rPr>
          <w:rFonts w:hint="eastAsia" w:ascii="宋体" w:hAnsi="宋体" w:eastAsia="宋体" w:cs="宋体"/>
          <w:color w:val="auto"/>
          <w:sz w:val="24"/>
          <w:szCs w:val="24"/>
          <w:highlight w:val="none"/>
        </w:rPr>
      </w:pPr>
      <w:bookmarkStart w:id="225" w:name="_Toc10843"/>
      <w:bookmarkStart w:id="226" w:name="_Toc2086"/>
      <w:bookmarkStart w:id="227" w:name="_Toc17860"/>
      <w:r>
        <w:rPr>
          <w:rFonts w:hint="eastAsia" w:ascii="宋体" w:hAnsi="宋体" w:eastAsia="宋体" w:cs="宋体"/>
          <w:color w:val="auto"/>
          <w:sz w:val="24"/>
          <w:szCs w:val="24"/>
          <w:highlight w:val="none"/>
        </w:rPr>
        <w:t>3.3 投标文件的澄清原则：</w:t>
      </w:r>
      <w:bookmarkEnd w:id="225"/>
      <w:bookmarkEnd w:id="226"/>
      <w:bookmarkEnd w:id="227"/>
      <w:r>
        <w:rPr>
          <w:rFonts w:hint="eastAsia" w:ascii="宋体" w:hAnsi="宋体" w:eastAsia="宋体" w:cs="宋体"/>
          <w:color w:val="auto"/>
          <w:sz w:val="24"/>
          <w:szCs w:val="24"/>
          <w:highlight w:val="none"/>
        </w:rPr>
        <w:t xml:space="preserve"> </w:t>
      </w:r>
    </w:p>
    <w:p w14:paraId="1B18078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3.3.1 在评标过程中，评标委员会可以书面形式（应当由评标委员会专家签字）要求投标人对所提交的投标文件中含义不明确、同类问题表述不一致或者有明显文字和计算错误的内容，进行书面澄清或说明，或者对细微偏差进行补正。评标委员会不接受投标人主动提出的澄清、说明或补正。</w:t>
      </w:r>
    </w:p>
    <w:p w14:paraId="03E617F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3.3.2 投标人的澄清、说明和补正应当采用书面形式，由法定代表人或其授权的代表签字，并不得改变投标文件的实质性内容。投标人的书面澄清、说明和补正属于投标文件的组成部分。</w:t>
      </w:r>
    </w:p>
    <w:p w14:paraId="2D33437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3.3.3 评标委员会对投标人提交的澄清、说明或补正有疑问的，可以要求投标人进一步澄清、说明或补正，直至满足评标委员会的要求。</w:t>
      </w:r>
    </w:p>
    <w:p w14:paraId="22AFFE0E">
      <w:pPr>
        <w:pStyle w:val="5"/>
        <w:spacing w:before="0"/>
        <w:rPr>
          <w:rFonts w:hint="eastAsia" w:ascii="宋体" w:hAnsi="宋体" w:eastAsia="宋体" w:cs="宋体"/>
          <w:color w:val="auto"/>
          <w:sz w:val="24"/>
          <w:szCs w:val="24"/>
          <w:highlight w:val="none"/>
        </w:rPr>
      </w:pPr>
      <w:bookmarkStart w:id="228" w:name="_Toc20234"/>
      <w:bookmarkStart w:id="229" w:name="_Toc21686"/>
      <w:bookmarkStart w:id="230" w:name="_Toc23050"/>
      <w:r>
        <w:rPr>
          <w:rFonts w:hint="eastAsia" w:ascii="宋体" w:hAnsi="宋体" w:eastAsia="宋体" w:cs="宋体"/>
          <w:color w:val="auto"/>
          <w:sz w:val="24"/>
          <w:szCs w:val="24"/>
          <w:highlight w:val="none"/>
        </w:rPr>
        <w:t>3.4 评标结果</w:t>
      </w:r>
      <w:bookmarkEnd w:id="228"/>
      <w:bookmarkEnd w:id="229"/>
      <w:bookmarkEnd w:id="230"/>
    </w:p>
    <w:p w14:paraId="54B2200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3.4.1 评标委员会按得分由高到低顺序推荐3名中标候选人，并提出书面评标报告。</w:t>
      </w:r>
    </w:p>
    <w:p w14:paraId="508458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采购人根据评标委员会提出的书面评标报告和推荐的中标候选人名单，确定中标人。</w:t>
      </w:r>
    </w:p>
    <w:p w14:paraId="004BE443">
      <w:pPr>
        <w:pStyle w:val="4"/>
        <w:spacing w:before="0"/>
        <w:rPr>
          <w:rFonts w:hint="eastAsia" w:ascii="宋体" w:hAnsi="宋体" w:eastAsia="宋体" w:cs="宋体"/>
          <w:color w:val="auto"/>
          <w:sz w:val="24"/>
          <w:szCs w:val="24"/>
          <w:highlight w:val="none"/>
        </w:rPr>
      </w:pPr>
      <w:bookmarkStart w:id="231" w:name="_Toc5780266"/>
      <w:bookmarkStart w:id="232" w:name="_Toc16484"/>
      <w:bookmarkStart w:id="233" w:name="_Toc9003"/>
      <w:bookmarkStart w:id="234" w:name="_Toc18040"/>
      <w:bookmarkStart w:id="235" w:name="_Toc1896"/>
      <w:bookmarkStart w:id="236" w:name="_Toc8168240"/>
      <w:bookmarkStart w:id="237" w:name="_Toc18374"/>
      <w:bookmarkStart w:id="238" w:name="_Toc554"/>
      <w:bookmarkStart w:id="239" w:name="_Toc29985"/>
      <w:bookmarkStart w:id="240" w:name="_Hlk10025701"/>
      <w:r>
        <w:rPr>
          <w:rFonts w:hint="eastAsia" w:ascii="宋体" w:hAnsi="宋体" w:eastAsia="宋体" w:cs="宋体"/>
          <w:color w:val="auto"/>
          <w:sz w:val="24"/>
          <w:szCs w:val="24"/>
          <w:highlight w:val="none"/>
        </w:rPr>
        <w:t>4. 政府采购政策</w:t>
      </w:r>
      <w:bookmarkEnd w:id="231"/>
      <w:bookmarkEnd w:id="232"/>
      <w:bookmarkEnd w:id="233"/>
      <w:bookmarkEnd w:id="234"/>
      <w:bookmarkEnd w:id="235"/>
      <w:bookmarkEnd w:id="236"/>
      <w:bookmarkEnd w:id="237"/>
      <w:bookmarkEnd w:id="238"/>
      <w:bookmarkEnd w:id="239"/>
    </w:p>
    <w:p w14:paraId="7A807CE8">
      <w:pPr>
        <w:pStyle w:val="5"/>
        <w:spacing w:before="0"/>
        <w:rPr>
          <w:rFonts w:hint="eastAsia" w:ascii="宋体" w:hAnsi="宋体" w:eastAsia="宋体" w:cs="宋体"/>
          <w:color w:val="auto"/>
          <w:sz w:val="24"/>
          <w:szCs w:val="24"/>
          <w:highlight w:val="none"/>
        </w:rPr>
      </w:pPr>
      <w:bookmarkStart w:id="241" w:name="_Toc55305299"/>
      <w:bookmarkStart w:id="242" w:name="_Toc14863"/>
      <w:bookmarkStart w:id="243" w:name="_Toc32072"/>
      <w:bookmarkStart w:id="244" w:name="_Toc56372942"/>
      <w:bookmarkStart w:id="245" w:name="_Toc7218"/>
      <w:bookmarkStart w:id="246" w:name="_Toc8168241"/>
      <w:bookmarkStart w:id="247" w:name="_Hlk65018654"/>
      <w:r>
        <w:rPr>
          <w:rFonts w:hint="eastAsia" w:ascii="宋体" w:hAnsi="宋体" w:eastAsia="宋体" w:cs="宋体"/>
          <w:color w:val="auto"/>
          <w:sz w:val="24"/>
          <w:szCs w:val="24"/>
          <w:highlight w:val="none"/>
        </w:rPr>
        <w:t>4.1中小企业</w:t>
      </w:r>
      <w:bookmarkEnd w:id="241"/>
      <w:bookmarkEnd w:id="242"/>
      <w:bookmarkEnd w:id="243"/>
      <w:bookmarkEnd w:id="244"/>
      <w:bookmarkEnd w:id="245"/>
      <w:bookmarkEnd w:id="246"/>
    </w:p>
    <w:p w14:paraId="2E44D4AF">
      <w:pPr>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4.1.1</w:t>
      </w:r>
      <w:bookmarkStart w:id="248" w:name="_Toc12049"/>
      <w:bookmarkStart w:id="249" w:name="_Toc8168242"/>
      <w:bookmarkStart w:id="250" w:name="_Toc29962"/>
      <w:r>
        <w:rPr>
          <w:rFonts w:hint="eastAsia" w:ascii="宋体" w:hAnsi="宋体" w:eastAsia="宋体" w:cs="宋体"/>
          <w:color w:val="auto"/>
          <w:sz w:val="24"/>
          <w:highlight w:val="none"/>
        </w:rPr>
        <w:t>请投标人根据“国家统计局关于印发</w:t>
      </w:r>
      <w:r>
        <w:rPr>
          <w:rFonts w:hint="eastAsia" w:ascii="宋体" w:hAnsi="宋体" w:eastAsia="宋体" w:cs="宋体"/>
          <w:color w:val="auto"/>
          <w:sz w:val="24"/>
          <w:szCs w:val="21"/>
          <w:highlight w:val="none"/>
        </w:rPr>
        <w:t>《关于进一步加大政府采购支持中小企业力度的通知》（财库〔2022〕19号）</w:t>
      </w:r>
      <w:r>
        <w:rPr>
          <w:rFonts w:hint="eastAsia" w:ascii="宋体" w:hAnsi="宋体" w:eastAsia="宋体" w:cs="宋体"/>
          <w:color w:val="auto"/>
          <w:sz w:val="24"/>
          <w:highlight w:val="none"/>
        </w:rPr>
        <w:t>、</w:t>
      </w:r>
      <w:r>
        <w:rPr>
          <w:rFonts w:hint="eastAsia" w:ascii="宋体" w:hAnsi="宋体" w:eastAsia="宋体" w:cs="宋体"/>
          <w:color w:val="auto"/>
          <w:sz w:val="24"/>
          <w:szCs w:val="21"/>
          <w:highlight w:val="none"/>
        </w:rPr>
        <w:t>《关于印发中小企业划型标准规定的通知》（工信部联企业〔2011〕300号）</w:t>
      </w:r>
      <w:r>
        <w:rPr>
          <w:rFonts w:hint="eastAsia" w:ascii="宋体" w:hAnsi="宋体" w:eastAsia="宋体" w:cs="宋体"/>
          <w:color w:val="auto"/>
          <w:sz w:val="24"/>
          <w:highlight w:val="none"/>
        </w:rPr>
        <w:t>的规定，提供《中小企业声明函》，未提供的在价格评分时不对投标报价进行扣除。投标人对《中小企业声明函》的真实性负责。</w:t>
      </w:r>
    </w:p>
    <w:p w14:paraId="219FFDF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4.1.2各行业划型标准为： </w:t>
      </w:r>
    </w:p>
    <w:p w14:paraId="11DDBB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（一）农、林、牧、渔业。营业收入20000万元以下的为中小微型企业。其中， </w:t>
      </w:r>
    </w:p>
    <w:p w14:paraId="02618E4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营业收入500万元及以上的为中型企业，营业收入50万元及以上的为小型企业，营业收入50万元以下的为微型企业。 </w:t>
      </w:r>
    </w:p>
    <w:p w14:paraId="739BFBB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（二）工业。从业人员1000人以下或营业收入40000万元以下的为中小微型企 </w:t>
      </w:r>
    </w:p>
    <w:p w14:paraId="421508C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业。其中，从业人员300人及以上，且营业收入2000万元及以上的为中型企业；从业人员20人及以上，且营业收入300万元及以上的为小型企业；从业人员20人以下或营业收入300万元以下的为微型企业。 </w:t>
      </w:r>
    </w:p>
    <w:p w14:paraId="3BFEB4F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（三）建筑业。营业收入80000万元以下或资产总额80000万元以下的为中小微 </w:t>
      </w:r>
    </w:p>
    <w:p w14:paraId="3570B56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型企业。其中，营业收入6000万元及以上，且资产总额5000万元及以上的为中型企业；营业收入300万元及以上，且资产总额300万元及以上的为小型企业；营业收入300万元以下或资产总额300万元以下的为微型企业。 </w:t>
      </w:r>
    </w:p>
    <w:p w14:paraId="3FEB21A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（四）批发业。从业人员200人以下或营业收入40000万元以下的为中小微型企 </w:t>
      </w:r>
    </w:p>
    <w:p w14:paraId="3A77E9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业。其中，从业人员20人及以上，且营业收入5000万元及以上的为中型企业；从业人员5人及以上，且营业收入1000万元及以上的为小型企业；从业人员5人以下或营业收入1000万元以下的为微型企业。 </w:t>
      </w:r>
    </w:p>
    <w:p w14:paraId="253568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（五）零售业。从业人员300人以下或营业收入20000万元以下的为中小微型企 </w:t>
      </w:r>
    </w:p>
    <w:p w14:paraId="0CE6898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业。其中，从业人员50人及以上，且营业收入500万元及以上的为中型企业；从业人员10人及以上，且营业收入100万元及以上的为小型企业；从业人员10人以下或营业收入100万元以下的为微型企业。 </w:t>
      </w:r>
    </w:p>
    <w:p w14:paraId="0335E33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455AAE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（七）仓储业。从业人员200人以下或营业收入30000万元以下的为中小微型企 </w:t>
      </w:r>
    </w:p>
    <w:p w14:paraId="42E5C94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业。其中，从业人员100人及以上，且营业收入1000万元及以上的为中型企业；从业人员20人及以上，且营业收入100万元及以上的为小型企业；从业人员20人以下或营业收入100万元以下的为微型企业。 </w:t>
      </w:r>
    </w:p>
    <w:p w14:paraId="0466C8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762713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（九）住宿业。从业人员300人以下或营业收入10000万元以下的为中小微型企 </w:t>
      </w:r>
    </w:p>
    <w:p w14:paraId="542E3FA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0D4D212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（十）餐饮业。从业人员300人以下或营业收入10000万元以下的为中小微型企 </w:t>
      </w:r>
    </w:p>
    <w:p w14:paraId="62FE4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4F40134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（十一）信息传输业。从业人员2000人以下或营业收入100000万元以下的为中 </w:t>
      </w:r>
    </w:p>
    <w:p w14:paraId="68303A9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小微型企业。其中，从业人员100人及以上，且营业收入1000万元及以上的为中型企业；从业人员10人及以上，且营业收入100万元及以上的为小型企业；从业人员10人以下或营业收入100万元以下的为微型企业。 </w:t>
      </w:r>
    </w:p>
    <w:p w14:paraId="1D44D5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（十二）软件和信息技术服务业。从业人员300人以下或营业收入10000万元以 </w:t>
      </w:r>
    </w:p>
    <w:p w14:paraId="74AF1D6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D08010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371BAF0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（十四）物业管理。从业人员1000人以下或营业收入5000万元以下的为中小微 </w:t>
      </w:r>
    </w:p>
    <w:p w14:paraId="3C1658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型企业。其中，从业人员300人及以上，且营业收入1000万元及以上的为中型企业；从业人员100人及以上，且营业收入500万元及以上的为小型企业；从业人员100人以下或营业收入500万元以下的为微型企业。 </w:t>
      </w:r>
    </w:p>
    <w:p w14:paraId="404AAF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0C2F34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（十六）其他未列明行业。从业人员300人以下的为中小微型企业。其中，从业 </w:t>
      </w:r>
    </w:p>
    <w:p w14:paraId="0A0E51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人员100人及以上的为中型企业；从业人员10人及以上的为小型企业；从业人员10人以下的为微型企业。</w:t>
      </w:r>
    </w:p>
    <w:p w14:paraId="6251AB59">
      <w:pPr>
        <w:pStyle w:val="5"/>
        <w:spacing w:before="0"/>
        <w:rPr>
          <w:rFonts w:hint="eastAsia" w:ascii="宋体" w:hAnsi="宋体" w:eastAsia="宋体" w:cs="宋体"/>
          <w:color w:val="auto"/>
          <w:sz w:val="24"/>
          <w:szCs w:val="24"/>
          <w:highlight w:val="none"/>
        </w:rPr>
      </w:pPr>
      <w:bookmarkStart w:id="251" w:name="_Toc22290"/>
      <w:r>
        <w:rPr>
          <w:rFonts w:hint="eastAsia" w:ascii="宋体" w:hAnsi="宋体" w:eastAsia="宋体" w:cs="宋体"/>
          <w:color w:val="auto"/>
          <w:sz w:val="24"/>
          <w:szCs w:val="24"/>
          <w:highlight w:val="none"/>
        </w:rPr>
        <w:t>4.2监狱企业</w:t>
      </w:r>
      <w:bookmarkEnd w:id="248"/>
      <w:bookmarkEnd w:id="249"/>
      <w:bookmarkEnd w:id="250"/>
      <w:bookmarkEnd w:id="251"/>
    </w:p>
    <w:p w14:paraId="72274DE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8E43EDA">
      <w:pPr>
        <w:pStyle w:val="5"/>
        <w:spacing w:before="0"/>
        <w:rPr>
          <w:rFonts w:hint="eastAsia" w:ascii="宋体" w:hAnsi="宋体" w:eastAsia="宋体" w:cs="宋体"/>
          <w:color w:val="auto"/>
          <w:sz w:val="24"/>
          <w:szCs w:val="24"/>
          <w:highlight w:val="none"/>
        </w:rPr>
      </w:pPr>
      <w:bookmarkStart w:id="252" w:name="_Toc19200"/>
      <w:bookmarkStart w:id="253" w:name="_Toc14287"/>
      <w:bookmarkStart w:id="254" w:name="_Toc8168243"/>
      <w:bookmarkStart w:id="255" w:name="_Toc18529"/>
      <w:r>
        <w:rPr>
          <w:rFonts w:hint="eastAsia" w:ascii="宋体" w:hAnsi="宋体" w:eastAsia="宋体" w:cs="宋体"/>
          <w:color w:val="auto"/>
          <w:sz w:val="24"/>
          <w:szCs w:val="24"/>
          <w:highlight w:val="none"/>
        </w:rPr>
        <w:t>4.3残疾人福利性单位</w:t>
      </w:r>
      <w:bookmarkEnd w:id="252"/>
      <w:bookmarkEnd w:id="253"/>
      <w:bookmarkEnd w:id="254"/>
      <w:bookmarkEnd w:id="255"/>
    </w:p>
    <w:p w14:paraId="174C2A5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4.3.1根据《财政部 民政部 中国残疾人联合会关于促进残疾人就业政府采购政策的通知》，享受政府采购支持政策的残疾人福利性单位应当同时满足以下条件：</w:t>
      </w:r>
    </w:p>
    <w:p w14:paraId="6001B3E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（1）安置的残疾人占本单位在职职工人数的比例不低于25%（含25%），并且安置的残疾人人数不少于10人（含10人）；</w:t>
      </w:r>
    </w:p>
    <w:p w14:paraId="3C5EC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（2）依法与安置的每位残疾人签订了一年以上（含一年）的劳动合同或服务协议；</w:t>
      </w:r>
    </w:p>
    <w:p w14:paraId="1A4E6F8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（3）为安置的每位残疾人按月足额缴纳了基本养老保险、基本医疗保险、失业保险、工伤保险和生育保险等社会保险费；</w:t>
      </w:r>
    </w:p>
    <w:p w14:paraId="4E1998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（4）通过银行等金融机构向安置的每位残疾人，按月支付了不低于单位所在区县适用的经省级人民政府批准的月最低工资标准的工资；</w:t>
      </w:r>
    </w:p>
    <w:p w14:paraId="46F4073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（5）提供本单位制造的货物、承担的工程或者服务（以下简称产品），或者提供其他残疾人福利性单位制造的货物（不包括使用非残疾人福利性单位注册商标的货物）。</w:t>
      </w:r>
    </w:p>
    <w:p w14:paraId="1AC62CB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FAD360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4.3.2符合条件的残疾人福利性单位在参加政府采购活动时，应当提供《残疾人福利性单位声明函》，并对声明的真实性负责。</w:t>
      </w:r>
      <w:bookmarkEnd w:id="240"/>
      <w:bookmarkEnd w:id="247"/>
    </w:p>
    <w:p w14:paraId="72FD8493">
      <w:pPr>
        <w:pStyle w:val="5"/>
        <w:spacing w:before="0"/>
        <w:rPr>
          <w:rFonts w:hint="eastAsia" w:ascii="宋体" w:hAnsi="宋体" w:eastAsia="宋体" w:cs="宋体"/>
          <w:color w:val="auto"/>
          <w:sz w:val="24"/>
          <w:szCs w:val="24"/>
          <w:highlight w:val="none"/>
        </w:rPr>
      </w:pPr>
      <w:bookmarkStart w:id="256" w:name="_Toc21314"/>
      <w:bookmarkStart w:id="257" w:name="_Toc19550"/>
      <w:bookmarkStart w:id="258" w:name="_Toc8527"/>
      <w:bookmarkStart w:id="259" w:name="_Toc108118841"/>
      <w:r>
        <w:rPr>
          <w:rFonts w:hint="eastAsia" w:ascii="宋体" w:hAnsi="宋体" w:eastAsia="宋体" w:cs="宋体"/>
          <w:color w:val="auto"/>
          <w:sz w:val="24"/>
          <w:szCs w:val="24"/>
          <w:highlight w:val="none"/>
        </w:rPr>
        <w:t>4.4节能、环境标志产品</w:t>
      </w:r>
      <w:bookmarkEnd w:id="256"/>
      <w:bookmarkEnd w:id="257"/>
      <w:bookmarkEnd w:id="258"/>
      <w:bookmarkEnd w:id="259"/>
    </w:p>
    <w:p w14:paraId="02D3EEC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4.4.1节能产品是指列入财政部和国家发改委公布的《节能产品政府采购品目清单》中的产品。政府强制采购节能产品是指《节能产品政府采购品目清单》中以“★”标准类别的产品。</w:t>
      </w:r>
    </w:p>
    <w:p w14:paraId="177CB11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4.4.2环境标志产品是列入财政部、生态环境部公布的《环境标志产品政府采购品目清单》中的产品。</w:t>
      </w:r>
    </w:p>
    <w:p w14:paraId="25A2CD4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4.4.3本项目采购清单中若有政府强制采购节能产品，只接受获得国家确定的认证机构出具的、处于有效期之内的节能产品认证证书的产品，且产品认证应依据《节能产品政府采购品目清单》中相关标准的最新版本，依据国家标准中二级能效（水效）指标。</w:t>
      </w:r>
    </w:p>
    <w:p w14:paraId="71A9C1F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4.4.5投标人提供从产品为节能/环境标志产品时，应在投标文件中承诺，函盖产品具有国家确定的认证机构出具的、处于有效期之内的节能产品/环境标志产品认证证书，且产品认证依据《节能产品政府采购品目清单》/《环境标志产品政府采购品目清单》中相关标准的最新版本，或可直接提供符合要求的节能产品/环境标志产品认证证书复印件。</w:t>
      </w:r>
    </w:p>
    <w:p w14:paraId="1882B171">
      <w:pPr>
        <w:pStyle w:val="5"/>
        <w:spacing w:before="0"/>
        <w:rPr>
          <w:rFonts w:hint="eastAsia" w:ascii="宋体" w:hAnsi="宋体" w:eastAsia="宋体" w:cs="宋体"/>
          <w:color w:val="auto"/>
          <w:sz w:val="24"/>
          <w:szCs w:val="24"/>
          <w:highlight w:val="none"/>
        </w:rPr>
      </w:pPr>
      <w:bookmarkStart w:id="260" w:name="_Toc22023"/>
      <w:bookmarkStart w:id="261" w:name="_Toc26075"/>
      <w:bookmarkStart w:id="262" w:name="_Toc32659"/>
      <w:bookmarkStart w:id="263" w:name="_Toc22845"/>
      <w:r>
        <w:rPr>
          <w:rFonts w:hint="eastAsia" w:ascii="宋体" w:hAnsi="宋体" w:eastAsia="宋体" w:cs="宋体"/>
          <w:color w:val="auto"/>
          <w:sz w:val="24"/>
          <w:szCs w:val="24"/>
          <w:highlight w:val="none"/>
        </w:rPr>
        <w:t>4.5国家强制认证产品</w:t>
      </w:r>
      <w:bookmarkEnd w:id="260"/>
      <w:bookmarkEnd w:id="261"/>
      <w:bookmarkEnd w:id="262"/>
      <w:bookmarkEnd w:id="263"/>
    </w:p>
    <w:p w14:paraId="66319F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采购产品属于《强制性产品认证目录描述与界定表（2020年修订版）》内，根据《中华人民共和国认证认可条例》及《强制性产品认证管理规定》(国家质量监督检验检疫总局第117号)规定，提供相关证明材料。</w:t>
      </w:r>
    </w:p>
    <w:p w14:paraId="68DE0301">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DFEBA7B">
      <w:pPr>
        <w:pStyle w:val="3"/>
        <w:spacing w:line="240" w:lineRule="auto"/>
        <w:jc w:val="center"/>
        <w:rPr>
          <w:rFonts w:hint="eastAsia" w:ascii="宋体" w:hAnsi="宋体" w:eastAsia="宋体" w:cs="宋体"/>
          <w:bCs/>
          <w:color w:val="auto"/>
          <w:sz w:val="36"/>
          <w:highlight w:val="none"/>
        </w:rPr>
      </w:pPr>
      <w:bookmarkStart w:id="264" w:name="_Toc28597"/>
      <w:bookmarkStart w:id="265" w:name="_Toc3964"/>
      <w:bookmarkStart w:id="266" w:name="_Toc22302"/>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七</w:t>
      </w:r>
      <w:r>
        <w:rPr>
          <w:rFonts w:hint="eastAsia" w:ascii="宋体" w:hAnsi="宋体" w:eastAsia="宋体" w:cs="宋体"/>
          <w:bCs/>
          <w:color w:val="auto"/>
          <w:sz w:val="36"/>
          <w:highlight w:val="none"/>
        </w:rPr>
        <w:t>章  投标文件格式</w:t>
      </w:r>
      <w:bookmarkEnd w:id="264"/>
      <w:bookmarkEnd w:id="265"/>
      <w:bookmarkEnd w:id="266"/>
      <w:bookmarkStart w:id="267" w:name="_Toc8168204"/>
    </w:p>
    <w:p w14:paraId="37B963A9">
      <w:pPr>
        <w:rPr>
          <w:rFonts w:hint="eastAsia" w:ascii="宋体" w:hAnsi="宋体" w:eastAsia="宋体" w:cs="宋体"/>
          <w:color w:val="auto"/>
          <w:highlight w:val="none"/>
        </w:rPr>
      </w:pPr>
    </w:p>
    <w:p w14:paraId="6B61CF06">
      <w:pPr>
        <w:jc w:val="center"/>
        <w:rPr>
          <w:rFonts w:hint="eastAsia" w:ascii="宋体" w:hAnsi="宋体" w:eastAsia="宋体" w:cs="宋体"/>
          <w:b/>
          <w:bCs/>
          <w:iCs/>
          <w:color w:val="auto"/>
          <w:kern w:val="36"/>
          <w:sz w:val="48"/>
          <w:szCs w:val="48"/>
          <w:highlight w:val="none"/>
          <w:lang w:eastAsia="zh-CN"/>
        </w:rPr>
      </w:pPr>
      <w:r>
        <w:rPr>
          <w:rFonts w:hint="eastAsia" w:ascii="宋体" w:hAnsi="宋体" w:cs="宋体"/>
          <w:b/>
          <w:bCs/>
          <w:iCs/>
          <w:color w:val="auto"/>
          <w:kern w:val="36"/>
          <w:sz w:val="48"/>
          <w:szCs w:val="48"/>
          <w:highlight w:val="none"/>
          <w:lang w:eastAsia="zh-CN"/>
        </w:rPr>
        <w:t>玉溪职业技术学院（云南省玉溪工业财贸学校）改善办学条件采购项目</w:t>
      </w:r>
    </w:p>
    <w:p w14:paraId="223015FB">
      <w:pPr>
        <w:jc w:val="center"/>
        <w:rPr>
          <w:rFonts w:hint="eastAsia" w:ascii="宋体" w:hAnsi="宋体" w:eastAsia="宋体" w:cs="宋体"/>
          <w:b/>
          <w:bCs/>
          <w:iCs/>
          <w:color w:val="auto"/>
          <w:kern w:val="36"/>
          <w:sz w:val="36"/>
          <w:szCs w:val="36"/>
          <w:highlight w:val="none"/>
        </w:rPr>
      </w:pPr>
    </w:p>
    <w:p w14:paraId="682E7AF0">
      <w:pPr>
        <w:pStyle w:val="2"/>
        <w:rPr>
          <w:rFonts w:hint="eastAsia" w:ascii="宋体" w:hAnsi="宋体" w:eastAsia="宋体" w:cs="宋体"/>
          <w:color w:val="auto"/>
          <w:highlight w:val="none"/>
        </w:rPr>
      </w:pPr>
    </w:p>
    <w:p w14:paraId="50F13B24">
      <w:pPr>
        <w:rPr>
          <w:rFonts w:hint="eastAsia" w:ascii="宋体" w:hAnsi="宋体" w:eastAsia="宋体" w:cs="宋体"/>
          <w:color w:val="auto"/>
          <w:highlight w:val="none"/>
        </w:rPr>
      </w:pPr>
    </w:p>
    <w:p w14:paraId="5B02B5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2"/>
          <w:szCs w:val="32"/>
          <w:highlight w:val="none"/>
        </w:rPr>
      </w:pPr>
      <w:r>
        <w:rPr>
          <w:rFonts w:hint="eastAsia" w:ascii="宋体" w:hAnsi="宋体" w:eastAsia="宋体" w:cs="宋体"/>
          <w:b/>
          <w:bCs/>
          <w:iCs/>
          <w:color w:val="auto"/>
          <w:kern w:val="36"/>
          <w:sz w:val="32"/>
          <w:szCs w:val="32"/>
          <w:highlight w:val="none"/>
        </w:rPr>
        <w:t>项目编号：</w:t>
      </w:r>
    </w:p>
    <w:p w14:paraId="2FFBFF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0"/>
          <w:szCs w:val="30"/>
          <w:highlight w:val="none"/>
          <w:lang w:val="en-US" w:eastAsia="zh-CN"/>
        </w:rPr>
      </w:pPr>
      <w:r>
        <w:rPr>
          <w:rFonts w:hint="eastAsia" w:ascii="宋体" w:hAnsi="宋体" w:eastAsia="宋体" w:cs="宋体"/>
          <w:b/>
          <w:bCs/>
          <w:iCs/>
          <w:color w:val="auto"/>
          <w:kern w:val="36"/>
          <w:sz w:val="32"/>
          <w:szCs w:val="32"/>
          <w:highlight w:val="none"/>
          <w:lang w:val="en-US" w:eastAsia="zh-CN"/>
        </w:rPr>
        <w:t>标段号及名称：</w:t>
      </w:r>
    </w:p>
    <w:p w14:paraId="75EB3114">
      <w:pPr>
        <w:rPr>
          <w:rFonts w:hint="eastAsia" w:ascii="宋体" w:hAnsi="宋体" w:eastAsia="宋体" w:cs="宋体"/>
          <w:b/>
          <w:bCs/>
          <w:color w:val="auto"/>
          <w:sz w:val="72"/>
          <w:szCs w:val="144"/>
          <w:highlight w:val="none"/>
        </w:rPr>
      </w:pPr>
    </w:p>
    <w:p w14:paraId="6BC573F4">
      <w:pPr>
        <w:jc w:val="center"/>
        <w:rPr>
          <w:rFonts w:hint="eastAsia" w:ascii="宋体" w:hAnsi="宋体" w:eastAsia="宋体" w:cs="宋体"/>
          <w:b/>
          <w:bCs/>
          <w:color w:val="auto"/>
          <w:sz w:val="72"/>
          <w:szCs w:val="144"/>
          <w:highlight w:val="none"/>
        </w:rPr>
      </w:pPr>
    </w:p>
    <w:p w14:paraId="1560C773">
      <w:pPr>
        <w:jc w:val="center"/>
        <w:rPr>
          <w:rFonts w:hint="eastAsia" w:ascii="宋体" w:hAnsi="宋体" w:eastAsia="宋体" w:cs="宋体"/>
          <w:b/>
          <w:bCs/>
          <w:color w:val="auto"/>
          <w:sz w:val="72"/>
          <w:szCs w:val="144"/>
          <w:highlight w:val="none"/>
        </w:rPr>
      </w:pPr>
      <w:r>
        <w:rPr>
          <w:rFonts w:hint="eastAsia" w:ascii="宋体" w:hAnsi="宋体" w:eastAsia="宋体" w:cs="宋体"/>
          <w:b/>
          <w:bCs/>
          <w:color w:val="auto"/>
          <w:sz w:val="72"/>
          <w:szCs w:val="144"/>
          <w:highlight w:val="none"/>
        </w:rPr>
        <w:t>投 标 文 件</w:t>
      </w:r>
    </w:p>
    <w:p w14:paraId="6AA8F867">
      <w:pPr>
        <w:pStyle w:val="13"/>
        <w:rPr>
          <w:rFonts w:hint="eastAsia" w:ascii="宋体" w:hAnsi="宋体" w:eastAsia="宋体" w:cs="宋体"/>
          <w:b/>
          <w:bCs/>
          <w:iCs/>
          <w:color w:val="auto"/>
          <w:kern w:val="36"/>
          <w:sz w:val="32"/>
          <w:szCs w:val="32"/>
          <w:highlight w:val="none"/>
        </w:rPr>
      </w:pPr>
    </w:p>
    <w:p w14:paraId="32B2C1B7">
      <w:pPr>
        <w:rPr>
          <w:rFonts w:hint="eastAsia" w:ascii="宋体" w:hAnsi="宋体" w:eastAsia="宋体" w:cs="宋体"/>
          <w:b/>
          <w:bCs/>
          <w:iCs/>
          <w:color w:val="auto"/>
          <w:kern w:val="36"/>
          <w:sz w:val="32"/>
          <w:szCs w:val="32"/>
          <w:highlight w:val="none"/>
        </w:rPr>
      </w:pPr>
    </w:p>
    <w:p w14:paraId="1DDA62FE">
      <w:pPr>
        <w:pStyle w:val="13"/>
        <w:rPr>
          <w:rFonts w:hint="eastAsia" w:ascii="宋体" w:hAnsi="宋体" w:eastAsia="宋体" w:cs="宋体"/>
          <w:b/>
          <w:bCs/>
          <w:iCs/>
          <w:color w:val="auto"/>
          <w:kern w:val="36"/>
          <w:sz w:val="32"/>
          <w:szCs w:val="32"/>
          <w:highlight w:val="none"/>
        </w:rPr>
      </w:pPr>
    </w:p>
    <w:p w14:paraId="5D9CD282">
      <w:pPr>
        <w:rPr>
          <w:rFonts w:hint="eastAsia" w:ascii="宋体" w:hAnsi="宋体" w:eastAsia="宋体" w:cs="宋体"/>
          <w:color w:val="auto"/>
          <w:highlight w:val="none"/>
        </w:rPr>
      </w:pPr>
    </w:p>
    <w:p w14:paraId="09BA4582">
      <w:pPr>
        <w:rPr>
          <w:rFonts w:hint="eastAsia" w:ascii="宋体" w:hAnsi="宋体" w:eastAsia="宋体" w:cs="宋体"/>
          <w:color w:val="auto"/>
          <w:highlight w:val="none"/>
        </w:rPr>
      </w:pPr>
    </w:p>
    <w:p w14:paraId="6521DF47">
      <w:pPr>
        <w:pStyle w:val="13"/>
        <w:rPr>
          <w:rFonts w:hint="eastAsia" w:ascii="宋体" w:hAnsi="宋体" w:eastAsia="宋体" w:cs="宋体"/>
          <w:b/>
          <w:bCs/>
          <w:iCs/>
          <w:color w:val="auto"/>
          <w:kern w:val="36"/>
          <w:sz w:val="32"/>
          <w:szCs w:val="32"/>
          <w:highlight w:val="none"/>
        </w:rPr>
      </w:pPr>
    </w:p>
    <w:p w14:paraId="606A7741">
      <w:pPr>
        <w:spacing w:line="400" w:lineRule="exact"/>
        <w:jc w:val="left"/>
        <w:rPr>
          <w:rFonts w:hint="eastAsia" w:ascii="宋体" w:hAnsi="宋体" w:eastAsia="宋体" w:cs="宋体"/>
          <w:b/>
          <w:color w:val="auto"/>
          <w:sz w:val="24"/>
          <w:highlight w:val="none"/>
        </w:rPr>
      </w:pPr>
    </w:p>
    <w:p w14:paraId="4A0BABFF">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投标人：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w:t>
      </w:r>
    </w:p>
    <w:p w14:paraId="718A3DD0">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法定代表人或其委托代理人：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(电子签章或签名)</w:t>
      </w:r>
    </w:p>
    <w:p w14:paraId="4498306A">
      <w:pPr>
        <w:spacing w:line="480" w:lineRule="auto"/>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日期：</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年</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月</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日</w:t>
      </w:r>
    </w:p>
    <w:p w14:paraId="7B93A4EB">
      <w:pPr>
        <w:jc w:val="center"/>
        <w:outlineLvl w:val="1"/>
        <w:rPr>
          <w:rFonts w:hint="eastAsia" w:ascii="宋体" w:hAnsi="宋体" w:eastAsia="宋体" w:cs="宋体"/>
          <w:color w:val="auto"/>
          <w:highlight w:val="none"/>
        </w:rPr>
      </w:pPr>
      <w:r>
        <w:rPr>
          <w:rFonts w:hint="eastAsia" w:ascii="宋体" w:hAnsi="宋体" w:eastAsia="宋体" w:cs="宋体"/>
          <w:color w:val="auto"/>
          <w:szCs w:val="28"/>
          <w:highlight w:val="none"/>
        </w:rPr>
        <w:br w:type="page"/>
      </w:r>
      <w:bookmarkStart w:id="268" w:name="_Toc25400"/>
      <w:bookmarkStart w:id="269" w:name="_Toc39"/>
      <w:bookmarkStart w:id="270" w:name="_Toc25774"/>
      <w:bookmarkStart w:id="271" w:name="_Toc14181"/>
      <w:bookmarkStart w:id="272" w:name="_Toc4450"/>
      <w:bookmarkStart w:id="273" w:name="_Toc140445719"/>
      <w:bookmarkStart w:id="274" w:name="_Toc117716565"/>
      <w:r>
        <w:rPr>
          <w:rStyle w:val="135"/>
          <w:rFonts w:hint="eastAsia" w:ascii="宋体" w:hAnsi="宋体" w:eastAsia="宋体" w:cs="宋体"/>
          <w:color w:val="auto"/>
          <w:highlight w:val="none"/>
        </w:rPr>
        <w:t>一、</w:t>
      </w:r>
      <w:bookmarkStart w:id="275" w:name="_Toc23275"/>
      <w:r>
        <w:rPr>
          <w:rStyle w:val="135"/>
          <w:rFonts w:hint="eastAsia" w:ascii="宋体" w:hAnsi="宋体" w:eastAsia="宋体" w:cs="宋体"/>
          <w:color w:val="auto"/>
          <w:highlight w:val="none"/>
        </w:rPr>
        <w:t>投标报价一览表</w:t>
      </w:r>
      <w:bookmarkEnd w:id="268"/>
      <w:bookmarkEnd w:id="269"/>
      <w:bookmarkEnd w:id="270"/>
      <w:bookmarkEnd w:id="271"/>
      <w:bookmarkEnd w:id="275"/>
    </w:p>
    <w:p w14:paraId="7071FB51">
      <w:pPr>
        <w:pStyle w:val="21"/>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61DFABC0">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lang w:val="en-US" w:eastAsia="zh-CN"/>
        </w:rPr>
        <w:t xml:space="preserve">              </w:t>
      </w:r>
    </w:p>
    <w:tbl>
      <w:tblPr>
        <w:tblStyle w:val="42"/>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9"/>
        <w:gridCol w:w="6461"/>
      </w:tblGrid>
      <w:tr w14:paraId="36B6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09808B2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投标总报价</w:t>
            </w:r>
          </w:p>
          <w:p w14:paraId="24643C9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（元）</w:t>
            </w:r>
          </w:p>
        </w:tc>
        <w:tc>
          <w:tcPr>
            <w:tcW w:w="6461" w:type="dxa"/>
            <w:vAlign w:val="center"/>
          </w:tcPr>
          <w:p w14:paraId="750342F9">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小写：</w:t>
            </w:r>
            <w:r>
              <w:rPr>
                <w:rFonts w:hint="eastAsia" w:ascii="宋体" w:hAnsi="宋体" w:eastAsia="宋体" w:cs="宋体"/>
                <w:color w:val="auto"/>
                <w:sz w:val="24"/>
                <w:highlight w:val="none"/>
                <w:u w:val="single"/>
              </w:rPr>
              <w:t xml:space="preserve">                      </w:t>
            </w:r>
          </w:p>
          <w:p w14:paraId="0D7C421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大写：</w:t>
            </w:r>
            <w:r>
              <w:rPr>
                <w:rFonts w:hint="eastAsia" w:ascii="宋体" w:hAnsi="宋体" w:eastAsia="宋体" w:cs="宋体"/>
                <w:color w:val="auto"/>
                <w:sz w:val="24"/>
                <w:highlight w:val="none"/>
                <w:u w:val="single"/>
              </w:rPr>
              <w:t xml:space="preserve">                      </w:t>
            </w:r>
          </w:p>
        </w:tc>
      </w:tr>
      <w:tr w14:paraId="5E43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A87A2C4">
            <w:pPr>
              <w:tabs>
                <w:tab w:val="left" w:pos="480"/>
              </w:tabs>
              <w:autoSpaceDE w:val="0"/>
              <w:autoSpaceDN w:val="0"/>
              <w:adjustRightIn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合同履行期限</w:t>
            </w:r>
          </w:p>
        </w:tc>
        <w:tc>
          <w:tcPr>
            <w:tcW w:w="6461" w:type="dxa"/>
            <w:vAlign w:val="center"/>
          </w:tcPr>
          <w:p w14:paraId="6054994D">
            <w:pPr>
              <w:widowControl/>
              <w:adjustRightInd w:val="0"/>
              <w:snapToGrid w:val="0"/>
              <w:spacing w:line="400" w:lineRule="atLeast"/>
              <w:rPr>
                <w:rFonts w:hint="eastAsia" w:ascii="宋体" w:hAnsi="宋体" w:eastAsia="宋体" w:cs="宋体"/>
                <w:color w:val="auto"/>
                <w:sz w:val="24"/>
                <w:highlight w:val="none"/>
              </w:rPr>
            </w:pPr>
          </w:p>
        </w:tc>
      </w:tr>
      <w:tr w14:paraId="2CB7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2FBDACD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质量标准</w:t>
            </w:r>
          </w:p>
        </w:tc>
        <w:tc>
          <w:tcPr>
            <w:tcW w:w="6461" w:type="dxa"/>
            <w:vAlign w:val="center"/>
          </w:tcPr>
          <w:p w14:paraId="6052D1BD">
            <w:pPr>
              <w:spacing w:line="360" w:lineRule="auto"/>
              <w:jc w:val="left"/>
              <w:rPr>
                <w:rFonts w:hint="eastAsia" w:ascii="宋体" w:hAnsi="宋体" w:eastAsia="宋体" w:cs="宋体"/>
                <w:color w:val="auto"/>
                <w:sz w:val="24"/>
                <w:highlight w:val="none"/>
              </w:rPr>
            </w:pPr>
          </w:p>
        </w:tc>
      </w:tr>
      <w:tr w14:paraId="4B3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52E561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质保期</w:t>
            </w:r>
          </w:p>
        </w:tc>
        <w:tc>
          <w:tcPr>
            <w:tcW w:w="6461" w:type="dxa"/>
            <w:vAlign w:val="center"/>
          </w:tcPr>
          <w:p w14:paraId="2D99B3CE">
            <w:pPr>
              <w:spacing w:line="360" w:lineRule="auto"/>
              <w:jc w:val="left"/>
              <w:rPr>
                <w:rFonts w:hint="eastAsia" w:ascii="宋体" w:hAnsi="宋体" w:eastAsia="宋体" w:cs="宋体"/>
                <w:color w:val="auto"/>
                <w:sz w:val="24"/>
                <w:highlight w:val="none"/>
              </w:rPr>
            </w:pPr>
          </w:p>
        </w:tc>
      </w:tr>
      <w:tr w14:paraId="5160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21FC6D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其他承诺</w:t>
            </w:r>
          </w:p>
        </w:tc>
        <w:tc>
          <w:tcPr>
            <w:tcW w:w="6461" w:type="dxa"/>
            <w:vAlign w:val="center"/>
          </w:tcPr>
          <w:p w14:paraId="3232F45F">
            <w:pPr>
              <w:spacing w:line="360" w:lineRule="auto"/>
              <w:jc w:val="left"/>
              <w:rPr>
                <w:rFonts w:hint="eastAsia" w:ascii="宋体" w:hAnsi="宋体" w:eastAsia="宋体" w:cs="宋体"/>
                <w:color w:val="auto"/>
                <w:sz w:val="24"/>
                <w:highlight w:val="none"/>
              </w:rPr>
            </w:pPr>
          </w:p>
        </w:tc>
      </w:tr>
    </w:tbl>
    <w:p w14:paraId="5392FEE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注：1.表中报价应与“投标函”中报价和“</w:t>
      </w:r>
      <w:r>
        <w:rPr>
          <w:rFonts w:hint="eastAsia" w:ascii="宋体" w:hAnsi="宋体" w:eastAsia="宋体" w:cs="宋体"/>
          <w:color w:val="auto"/>
          <w:sz w:val="24"/>
          <w:highlight w:val="none"/>
          <w:lang w:val="en-US" w:eastAsia="zh-CN"/>
        </w:rPr>
        <w:t>分项</w:t>
      </w:r>
      <w:r>
        <w:rPr>
          <w:rFonts w:hint="eastAsia" w:ascii="宋体" w:hAnsi="宋体" w:eastAsia="宋体" w:cs="宋体"/>
          <w:color w:val="auto"/>
          <w:sz w:val="24"/>
          <w:highlight w:val="none"/>
        </w:rPr>
        <w:t>报价表”中报价一致。</w:t>
      </w:r>
    </w:p>
    <w:p w14:paraId="3B9AE7A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2.此表应放于投标文件封面后第一页。</w:t>
      </w:r>
    </w:p>
    <w:p w14:paraId="6CAA996D">
      <w:pPr>
        <w:spacing w:line="360" w:lineRule="auto"/>
        <w:jc w:val="left"/>
        <w:rPr>
          <w:rFonts w:hint="eastAsia" w:ascii="宋体" w:hAnsi="宋体" w:eastAsia="宋体" w:cs="宋体"/>
          <w:color w:val="auto"/>
          <w:sz w:val="24"/>
          <w:highlight w:val="none"/>
        </w:rPr>
      </w:pPr>
    </w:p>
    <w:p w14:paraId="5E133E2F">
      <w:pPr>
        <w:spacing w:line="480" w:lineRule="auto"/>
        <w:jc w:val="left"/>
        <w:rPr>
          <w:rFonts w:hint="eastAsia" w:ascii="宋体" w:hAnsi="宋体" w:eastAsia="宋体" w:cs="宋体"/>
          <w:bCs/>
          <w:color w:val="auto"/>
          <w:sz w:val="24"/>
          <w:highlight w:val="none"/>
          <w:u w:val="single"/>
        </w:rPr>
      </w:pPr>
      <w:bookmarkStart w:id="276" w:name="_Toc374876428"/>
      <w:bookmarkStart w:id="277" w:name="_Toc30353"/>
      <w:bookmarkStart w:id="278" w:name="_Toc373137828"/>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5FB1004">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47C13CFA">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12036BE">
      <w:pPr>
        <w:pStyle w:val="5"/>
        <w:spacing w:before="0" w:line="240" w:lineRule="atLeast"/>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r>
        <w:rPr>
          <w:rFonts w:hint="eastAsia" w:ascii="宋体" w:hAnsi="宋体" w:eastAsia="宋体" w:cs="宋体"/>
          <w:color w:val="auto"/>
          <w:szCs w:val="28"/>
          <w:highlight w:val="none"/>
        </w:rPr>
        <w:t>附1：分项报价表</w:t>
      </w:r>
      <w:bookmarkEnd w:id="276"/>
      <w:bookmarkEnd w:id="277"/>
      <w:bookmarkEnd w:id="278"/>
    </w:p>
    <w:p w14:paraId="48B04E3D">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3094BDB0">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p>
    <w:tbl>
      <w:tblPr>
        <w:tblStyle w:val="42"/>
        <w:tblW w:w="10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425"/>
        <w:gridCol w:w="960"/>
        <w:gridCol w:w="810"/>
        <w:gridCol w:w="570"/>
        <w:gridCol w:w="495"/>
        <w:gridCol w:w="795"/>
        <w:gridCol w:w="780"/>
        <w:gridCol w:w="765"/>
        <w:gridCol w:w="825"/>
        <w:gridCol w:w="780"/>
        <w:gridCol w:w="765"/>
        <w:gridCol w:w="579"/>
        <w:gridCol w:w="574"/>
      </w:tblGrid>
      <w:tr w14:paraId="73C4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3" w:type="dxa"/>
            <w:vAlign w:val="center"/>
          </w:tcPr>
          <w:p w14:paraId="21D86EF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425" w:type="dxa"/>
            <w:vAlign w:val="center"/>
          </w:tcPr>
          <w:p w14:paraId="69D1844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产品名称</w:t>
            </w:r>
          </w:p>
        </w:tc>
        <w:tc>
          <w:tcPr>
            <w:tcW w:w="960" w:type="dxa"/>
            <w:vAlign w:val="center"/>
          </w:tcPr>
          <w:p w14:paraId="0121499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规格</w:t>
            </w:r>
          </w:p>
          <w:p w14:paraId="59F70A0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型号</w:t>
            </w:r>
          </w:p>
        </w:tc>
        <w:tc>
          <w:tcPr>
            <w:tcW w:w="810" w:type="dxa"/>
            <w:vAlign w:val="center"/>
          </w:tcPr>
          <w:p w14:paraId="68049D0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品牌</w:t>
            </w:r>
          </w:p>
        </w:tc>
        <w:tc>
          <w:tcPr>
            <w:tcW w:w="570" w:type="dxa"/>
            <w:vAlign w:val="center"/>
          </w:tcPr>
          <w:p w14:paraId="33F813D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495" w:type="dxa"/>
            <w:vAlign w:val="center"/>
          </w:tcPr>
          <w:p w14:paraId="4A05AE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795" w:type="dxa"/>
            <w:vAlign w:val="center"/>
          </w:tcPr>
          <w:p w14:paraId="5569473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含税单价（元）</w:t>
            </w:r>
          </w:p>
        </w:tc>
        <w:tc>
          <w:tcPr>
            <w:tcW w:w="780" w:type="dxa"/>
            <w:vAlign w:val="center"/>
          </w:tcPr>
          <w:p w14:paraId="085D40D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含税总价（元）</w:t>
            </w:r>
          </w:p>
        </w:tc>
        <w:tc>
          <w:tcPr>
            <w:tcW w:w="765" w:type="dxa"/>
            <w:vAlign w:val="center"/>
          </w:tcPr>
          <w:p w14:paraId="5C6E120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生产商名称</w:t>
            </w:r>
          </w:p>
        </w:tc>
        <w:tc>
          <w:tcPr>
            <w:tcW w:w="825" w:type="dxa"/>
            <w:vAlign w:val="center"/>
          </w:tcPr>
          <w:p w14:paraId="5FCC8B9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生产商规模</w:t>
            </w:r>
          </w:p>
        </w:tc>
        <w:tc>
          <w:tcPr>
            <w:tcW w:w="780" w:type="dxa"/>
            <w:vAlign w:val="center"/>
          </w:tcPr>
          <w:p w14:paraId="28D86F3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生产商特殊属性</w:t>
            </w:r>
          </w:p>
        </w:tc>
        <w:tc>
          <w:tcPr>
            <w:tcW w:w="765" w:type="dxa"/>
            <w:vAlign w:val="center"/>
          </w:tcPr>
          <w:p w14:paraId="77ED675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投标人所属地</w:t>
            </w:r>
          </w:p>
        </w:tc>
        <w:tc>
          <w:tcPr>
            <w:tcW w:w="579" w:type="dxa"/>
            <w:vAlign w:val="center"/>
          </w:tcPr>
          <w:p w14:paraId="6B1250F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产品属性</w:t>
            </w:r>
          </w:p>
        </w:tc>
        <w:tc>
          <w:tcPr>
            <w:tcW w:w="574" w:type="dxa"/>
            <w:vAlign w:val="center"/>
          </w:tcPr>
          <w:p w14:paraId="4669F3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是否为小微企业</w:t>
            </w:r>
          </w:p>
        </w:tc>
      </w:tr>
      <w:tr w14:paraId="19EA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3" w:type="dxa"/>
            <w:vAlign w:val="center"/>
          </w:tcPr>
          <w:p w14:paraId="12B93FD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25" w:type="dxa"/>
            <w:vAlign w:val="center"/>
          </w:tcPr>
          <w:p w14:paraId="778407D2">
            <w:pPr>
              <w:jc w:val="center"/>
              <w:rPr>
                <w:rFonts w:hint="eastAsia" w:ascii="宋体" w:hAnsi="宋体" w:eastAsia="宋体" w:cs="宋体"/>
                <w:color w:val="auto"/>
                <w:sz w:val="24"/>
                <w:highlight w:val="none"/>
              </w:rPr>
            </w:pPr>
          </w:p>
        </w:tc>
        <w:tc>
          <w:tcPr>
            <w:tcW w:w="960" w:type="dxa"/>
            <w:vAlign w:val="center"/>
          </w:tcPr>
          <w:p w14:paraId="06B8442F">
            <w:pPr>
              <w:jc w:val="center"/>
              <w:rPr>
                <w:rFonts w:hint="eastAsia" w:ascii="宋体" w:hAnsi="宋体" w:eastAsia="宋体" w:cs="宋体"/>
                <w:color w:val="auto"/>
                <w:sz w:val="24"/>
                <w:highlight w:val="none"/>
              </w:rPr>
            </w:pPr>
          </w:p>
        </w:tc>
        <w:tc>
          <w:tcPr>
            <w:tcW w:w="810" w:type="dxa"/>
            <w:vAlign w:val="center"/>
          </w:tcPr>
          <w:p w14:paraId="5D49A788">
            <w:pPr>
              <w:jc w:val="center"/>
              <w:rPr>
                <w:rFonts w:hint="eastAsia" w:ascii="宋体" w:hAnsi="宋体" w:eastAsia="宋体" w:cs="宋体"/>
                <w:color w:val="auto"/>
                <w:sz w:val="24"/>
                <w:highlight w:val="none"/>
              </w:rPr>
            </w:pPr>
          </w:p>
        </w:tc>
        <w:tc>
          <w:tcPr>
            <w:tcW w:w="570" w:type="dxa"/>
            <w:vAlign w:val="center"/>
          </w:tcPr>
          <w:p w14:paraId="7F813411">
            <w:pPr>
              <w:jc w:val="center"/>
              <w:rPr>
                <w:rFonts w:hint="eastAsia" w:ascii="宋体" w:hAnsi="宋体" w:eastAsia="宋体" w:cs="宋体"/>
                <w:color w:val="auto"/>
                <w:sz w:val="24"/>
                <w:highlight w:val="none"/>
              </w:rPr>
            </w:pPr>
          </w:p>
        </w:tc>
        <w:tc>
          <w:tcPr>
            <w:tcW w:w="495" w:type="dxa"/>
            <w:vAlign w:val="center"/>
          </w:tcPr>
          <w:p w14:paraId="00F3E476">
            <w:pPr>
              <w:jc w:val="center"/>
              <w:rPr>
                <w:rFonts w:hint="eastAsia" w:ascii="宋体" w:hAnsi="宋体" w:eastAsia="宋体" w:cs="宋体"/>
                <w:color w:val="auto"/>
                <w:sz w:val="24"/>
                <w:highlight w:val="none"/>
              </w:rPr>
            </w:pPr>
          </w:p>
        </w:tc>
        <w:tc>
          <w:tcPr>
            <w:tcW w:w="795" w:type="dxa"/>
            <w:vAlign w:val="center"/>
          </w:tcPr>
          <w:p w14:paraId="4997E449">
            <w:pPr>
              <w:jc w:val="center"/>
              <w:rPr>
                <w:rFonts w:hint="eastAsia" w:ascii="宋体" w:hAnsi="宋体" w:eastAsia="宋体" w:cs="宋体"/>
                <w:color w:val="auto"/>
                <w:sz w:val="24"/>
                <w:highlight w:val="none"/>
              </w:rPr>
            </w:pPr>
          </w:p>
        </w:tc>
        <w:tc>
          <w:tcPr>
            <w:tcW w:w="780" w:type="dxa"/>
            <w:vAlign w:val="center"/>
          </w:tcPr>
          <w:p w14:paraId="126F0838">
            <w:pPr>
              <w:jc w:val="center"/>
              <w:rPr>
                <w:rFonts w:hint="eastAsia" w:ascii="宋体" w:hAnsi="宋体" w:eastAsia="宋体" w:cs="宋体"/>
                <w:color w:val="auto"/>
                <w:sz w:val="24"/>
                <w:highlight w:val="none"/>
              </w:rPr>
            </w:pPr>
          </w:p>
        </w:tc>
        <w:tc>
          <w:tcPr>
            <w:tcW w:w="765" w:type="dxa"/>
            <w:vAlign w:val="center"/>
          </w:tcPr>
          <w:p w14:paraId="745C9259">
            <w:pPr>
              <w:jc w:val="center"/>
              <w:rPr>
                <w:rFonts w:hint="eastAsia" w:ascii="宋体" w:hAnsi="宋体" w:eastAsia="宋体" w:cs="宋体"/>
                <w:color w:val="auto"/>
                <w:sz w:val="24"/>
                <w:highlight w:val="none"/>
              </w:rPr>
            </w:pPr>
          </w:p>
        </w:tc>
        <w:tc>
          <w:tcPr>
            <w:tcW w:w="825" w:type="dxa"/>
            <w:vAlign w:val="center"/>
          </w:tcPr>
          <w:p w14:paraId="0B05459C">
            <w:pPr>
              <w:jc w:val="center"/>
              <w:rPr>
                <w:rFonts w:hint="eastAsia" w:ascii="宋体" w:hAnsi="宋体" w:eastAsia="宋体" w:cs="宋体"/>
                <w:color w:val="auto"/>
                <w:sz w:val="24"/>
                <w:highlight w:val="none"/>
              </w:rPr>
            </w:pPr>
          </w:p>
        </w:tc>
        <w:tc>
          <w:tcPr>
            <w:tcW w:w="780" w:type="dxa"/>
            <w:vAlign w:val="center"/>
          </w:tcPr>
          <w:p w14:paraId="3E9C859E">
            <w:pPr>
              <w:jc w:val="center"/>
              <w:rPr>
                <w:rFonts w:hint="eastAsia" w:ascii="宋体" w:hAnsi="宋体" w:eastAsia="宋体" w:cs="宋体"/>
                <w:color w:val="auto"/>
                <w:sz w:val="24"/>
                <w:highlight w:val="none"/>
              </w:rPr>
            </w:pPr>
          </w:p>
        </w:tc>
        <w:tc>
          <w:tcPr>
            <w:tcW w:w="765" w:type="dxa"/>
            <w:vAlign w:val="center"/>
          </w:tcPr>
          <w:p w14:paraId="0BFE07EB">
            <w:pPr>
              <w:jc w:val="center"/>
              <w:rPr>
                <w:rFonts w:hint="eastAsia" w:ascii="宋体" w:hAnsi="宋体" w:eastAsia="宋体" w:cs="宋体"/>
                <w:color w:val="auto"/>
                <w:sz w:val="24"/>
                <w:highlight w:val="none"/>
              </w:rPr>
            </w:pPr>
          </w:p>
        </w:tc>
        <w:tc>
          <w:tcPr>
            <w:tcW w:w="579" w:type="dxa"/>
            <w:vAlign w:val="center"/>
          </w:tcPr>
          <w:p w14:paraId="688F3889">
            <w:pPr>
              <w:jc w:val="center"/>
              <w:rPr>
                <w:rFonts w:hint="eastAsia" w:ascii="宋体" w:hAnsi="宋体" w:eastAsia="宋体" w:cs="宋体"/>
                <w:color w:val="auto"/>
                <w:sz w:val="24"/>
                <w:highlight w:val="none"/>
              </w:rPr>
            </w:pPr>
          </w:p>
        </w:tc>
        <w:tc>
          <w:tcPr>
            <w:tcW w:w="574" w:type="dxa"/>
            <w:vAlign w:val="center"/>
          </w:tcPr>
          <w:p w14:paraId="155DBB10">
            <w:pPr>
              <w:jc w:val="center"/>
              <w:rPr>
                <w:rFonts w:hint="eastAsia" w:ascii="宋体" w:hAnsi="宋体" w:eastAsia="宋体" w:cs="宋体"/>
                <w:color w:val="auto"/>
                <w:sz w:val="24"/>
                <w:highlight w:val="none"/>
              </w:rPr>
            </w:pPr>
          </w:p>
        </w:tc>
      </w:tr>
      <w:tr w14:paraId="26E7E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3" w:type="dxa"/>
            <w:vAlign w:val="center"/>
          </w:tcPr>
          <w:p w14:paraId="055A415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25" w:type="dxa"/>
            <w:vAlign w:val="center"/>
          </w:tcPr>
          <w:p w14:paraId="1BFC6F67">
            <w:pPr>
              <w:jc w:val="center"/>
              <w:rPr>
                <w:rFonts w:hint="eastAsia" w:ascii="宋体" w:hAnsi="宋体" w:eastAsia="宋体" w:cs="宋体"/>
                <w:color w:val="auto"/>
                <w:sz w:val="24"/>
                <w:highlight w:val="none"/>
              </w:rPr>
            </w:pPr>
          </w:p>
        </w:tc>
        <w:tc>
          <w:tcPr>
            <w:tcW w:w="960" w:type="dxa"/>
            <w:vAlign w:val="center"/>
          </w:tcPr>
          <w:p w14:paraId="365FE738">
            <w:pPr>
              <w:jc w:val="center"/>
              <w:rPr>
                <w:rFonts w:hint="eastAsia" w:ascii="宋体" w:hAnsi="宋体" w:eastAsia="宋体" w:cs="宋体"/>
                <w:color w:val="auto"/>
                <w:sz w:val="24"/>
                <w:highlight w:val="none"/>
              </w:rPr>
            </w:pPr>
          </w:p>
        </w:tc>
        <w:tc>
          <w:tcPr>
            <w:tcW w:w="810" w:type="dxa"/>
            <w:vAlign w:val="center"/>
          </w:tcPr>
          <w:p w14:paraId="4F87429C">
            <w:pPr>
              <w:jc w:val="center"/>
              <w:rPr>
                <w:rFonts w:hint="eastAsia" w:ascii="宋体" w:hAnsi="宋体" w:eastAsia="宋体" w:cs="宋体"/>
                <w:color w:val="auto"/>
                <w:sz w:val="24"/>
                <w:highlight w:val="none"/>
              </w:rPr>
            </w:pPr>
          </w:p>
        </w:tc>
        <w:tc>
          <w:tcPr>
            <w:tcW w:w="570" w:type="dxa"/>
            <w:vAlign w:val="center"/>
          </w:tcPr>
          <w:p w14:paraId="3490A7BC">
            <w:pPr>
              <w:jc w:val="center"/>
              <w:rPr>
                <w:rFonts w:hint="eastAsia" w:ascii="宋体" w:hAnsi="宋体" w:eastAsia="宋体" w:cs="宋体"/>
                <w:color w:val="auto"/>
                <w:sz w:val="24"/>
                <w:highlight w:val="none"/>
              </w:rPr>
            </w:pPr>
          </w:p>
        </w:tc>
        <w:tc>
          <w:tcPr>
            <w:tcW w:w="495" w:type="dxa"/>
            <w:vAlign w:val="center"/>
          </w:tcPr>
          <w:p w14:paraId="62A2CA4F">
            <w:pPr>
              <w:jc w:val="center"/>
              <w:rPr>
                <w:rFonts w:hint="eastAsia" w:ascii="宋体" w:hAnsi="宋体" w:eastAsia="宋体" w:cs="宋体"/>
                <w:color w:val="auto"/>
                <w:sz w:val="24"/>
                <w:highlight w:val="none"/>
              </w:rPr>
            </w:pPr>
          </w:p>
        </w:tc>
        <w:tc>
          <w:tcPr>
            <w:tcW w:w="795" w:type="dxa"/>
            <w:vAlign w:val="center"/>
          </w:tcPr>
          <w:p w14:paraId="07A0DD6F">
            <w:pPr>
              <w:jc w:val="center"/>
              <w:rPr>
                <w:rFonts w:hint="eastAsia" w:ascii="宋体" w:hAnsi="宋体" w:eastAsia="宋体" w:cs="宋体"/>
                <w:color w:val="auto"/>
                <w:sz w:val="24"/>
                <w:highlight w:val="none"/>
              </w:rPr>
            </w:pPr>
          </w:p>
        </w:tc>
        <w:tc>
          <w:tcPr>
            <w:tcW w:w="780" w:type="dxa"/>
            <w:vAlign w:val="center"/>
          </w:tcPr>
          <w:p w14:paraId="6341A970">
            <w:pPr>
              <w:jc w:val="center"/>
              <w:rPr>
                <w:rFonts w:hint="eastAsia" w:ascii="宋体" w:hAnsi="宋体" w:eastAsia="宋体" w:cs="宋体"/>
                <w:color w:val="auto"/>
                <w:sz w:val="24"/>
                <w:highlight w:val="none"/>
              </w:rPr>
            </w:pPr>
          </w:p>
        </w:tc>
        <w:tc>
          <w:tcPr>
            <w:tcW w:w="765" w:type="dxa"/>
            <w:vAlign w:val="center"/>
          </w:tcPr>
          <w:p w14:paraId="12CF8E81">
            <w:pPr>
              <w:jc w:val="center"/>
              <w:rPr>
                <w:rFonts w:hint="eastAsia" w:ascii="宋体" w:hAnsi="宋体" w:eastAsia="宋体" w:cs="宋体"/>
                <w:color w:val="auto"/>
                <w:sz w:val="24"/>
                <w:highlight w:val="none"/>
              </w:rPr>
            </w:pPr>
          </w:p>
        </w:tc>
        <w:tc>
          <w:tcPr>
            <w:tcW w:w="825" w:type="dxa"/>
            <w:vAlign w:val="center"/>
          </w:tcPr>
          <w:p w14:paraId="30EC346D">
            <w:pPr>
              <w:jc w:val="center"/>
              <w:rPr>
                <w:rFonts w:hint="eastAsia" w:ascii="宋体" w:hAnsi="宋体" w:eastAsia="宋体" w:cs="宋体"/>
                <w:color w:val="auto"/>
                <w:sz w:val="24"/>
                <w:highlight w:val="none"/>
              </w:rPr>
            </w:pPr>
          </w:p>
        </w:tc>
        <w:tc>
          <w:tcPr>
            <w:tcW w:w="780" w:type="dxa"/>
            <w:vAlign w:val="center"/>
          </w:tcPr>
          <w:p w14:paraId="4E392A81">
            <w:pPr>
              <w:jc w:val="center"/>
              <w:rPr>
                <w:rFonts w:hint="eastAsia" w:ascii="宋体" w:hAnsi="宋体" w:eastAsia="宋体" w:cs="宋体"/>
                <w:color w:val="auto"/>
                <w:sz w:val="24"/>
                <w:highlight w:val="none"/>
              </w:rPr>
            </w:pPr>
          </w:p>
        </w:tc>
        <w:tc>
          <w:tcPr>
            <w:tcW w:w="765" w:type="dxa"/>
            <w:vAlign w:val="center"/>
          </w:tcPr>
          <w:p w14:paraId="56D0867C">
            <w:pPr>
              <w:jc w:val="center"/>
              <w:rPr>
                <w:rFonts w:hint="eastAsia" w:ascii="宋体" w:hAnsi="宋体" w:eastAsia="宋体" w:cs="宋体"/>
                <w:color w:val="auto"/>
                <w:sz w:val="24"/>
                <w:highlight w:val="none"/>
              </w:rPr>
            </w:pPr>
          </w:p>
        </w:tc>
        <w:tc>
          <w:tcPr>
            <w:tcW w:w="579" w:type="dxa"/>
            <w:vAlign w:val="center"/>
          </w:tcPr>
          <w:p w14:paraId="6EC85FF2">
            <w:pPr>
              <w:jc w:val="center"/>
              <w:rPr>
                <w:rFonts w:hint="eastAsia" w:ascii="宋体" w:hAnsi="宋体" w:eastAsia="宋体" w:cs="宋体"/>
                <w:color w:val="auto"/>
                <w:sz w:val="24"/>
                <w:highlight w:val="none"/>
              </w:rPr>
            </w:pPr>
          </w:p>
        </w:tc>
        <w:tc>
          <w:tcPr>
            <w:tcW w:w="574" w:type="dxa"/>
            <w:vAlign w:val="center"/>
          </w:tcPr>
          <w:p w14:paraId="2ECD0F02">
            <w:pPr>
              <w:jc w:val="center"/>
              <w:rPr>
                <w:rFonts w:hint="eastAsia" w:ascii="宋体" w:hAnsi="宋体" w:eastAsia="宋体" w:cs="宋体"/>
                <w:color w:val="auto"/>
                <w:sz w:val="24"/>
                <w:highlight w:val="none"/>
              </w:rPr>
            </w:pPr>
          </w:p>
        </w:tc>
      </w:tr>
      <w:tr w14:paraId="7A56D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3" w:type="dxa"/>
            <w:vAlign w:val="center"/>
          </w:tcPr>
          <w:p w14:paraId="2EB8B5F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25" w:type="dxa"/>
            <w:vAlign w:val="center"/>
          </w:tcPr>
          <w:p w14:paraId="5C3E6891">
            <w:pPr>
              <w:jc w:val="center"/>
              <w:rPr>
                <w:rFonts w:hint="eastAsia" w:ascii="宋体" w:hAnsi="宋体" w:eastAsia="宋体" w:cs="宋体"/>
                <w:color w:val="auto"/>
                <w:sz w:val="24"/>
                <w:highlight w:val="none"/>
              </w:rPr>
            </w:pPr>
          </w:p>
        </w:tc>
        <w:tc>
          <w:tcPr>
            <w:tcW w:w="960" w:type="dxa"/>
            <w:vAlign w:val="center"/>
          </w:tcPr>
          <w:p w14:paraId="46F025AA">
            <w:pPr>
              <w:jc w:val="center"/>
              <w:rPr>
                <w:rFonts w:hint="eastAsia" w:ascii="宋体" w:hAnsi="宋体" w:eastAsia="宋体" w:cs="宋体"/>
                <w:color w:val="auto"/>
                <w:sz w:val="24"/>
                <w:highlight w:val="none"/>
              </w:rPr>
            </w:pPr>
          </w:p>
        </w:tc>
        <w:tc>
          <w:tcPr>
            <w:tcW w:w="810" w:type="dxa"/>
            <w:vAlign w:val="center"/>
          </w:tcPr>
          <w:p w14:paraId="5259605E">
            <w:pPr>
              <w:jc w:val="center"/>
              <w:rPr>
                <w:rFonts w:hint="eastAsia" w:ascii="宋体" w:hAnsi="宋体" w:eastAsia="宋体" w:cs="宋体"/>
                <w:color w:val="auto"/>
                <w:sz w:val="24"/>
                <w:highlight w:val="none"/>
              </w:rPr>
            </w:pPr>
          </w:p>
        </w:tc>
        <w:tc>
          <w:tcPr>
            <w:tcW w:w="570" w:type="dxa"/>
            <w:vAlign w:val="center"/>
          </w:tcPr>
          <w:p w14:paraId="5A81D6CC">
            <w:pPr>
              <w:jc w:val="center"/>
              <w:rPr>
                <w:rFonts w:hint="eastAsia" w:ascii="宋体" w:hAnsi="宋体" w:eastAsia="宋体" w:cs="宋体"/>
                <w:color w:val="auto"/>
                <w:sz w:val="24"/>
                <w:highlight w:val="none"/>
              </w:rPr>
            </w:pPr>
          </w:p>
        </w:tc>
        <w:tc>
          <w:tcPr>
            <w:tcW w:w="495" w:type="dxa"/>
            <w:vAlign w:val="center"/>
          </w:tcPr>
          <w:p w14:paraId="428F415B">
            <w:pPr>
              <w:jc w:val="center"/>
              <w:rPr>
                <w:rFonts w:hint="eastAsia" w:ascii="宋体" w:hAnsi="宋体" w:eastAsia="宋体" w:cs="宋体"/>
                <w:color w:val="auto"/>
                <w:sz w:val="24"/>
                <w:highlight w:val="none"/>
              </w:rPr>
            </w:pPr>
          </w:p>
        </w:tc>
        <w:tc>
          <w:tcPr>
            <w:tcW w:w="795" w:type="dxa"/>
            <w:vAlign w:val="center"/>
          </w:tcPr>
          <w:p w14:paraId="50F72972">
            <w:pPr>
              <w:jc w:val="center"/>
              <w:rPr>
                <w:rFonts w:hint="eastAsia" w:ascii="宋体" w:hAnsi="宋体" w:eastAsia="宋体" w:cs="宋体"/>
                <w:color w:val="auto"/>
                <w:sz w:val="24"/>
                <w:highlight w:val="none"/>
              </w:rPr>
            </w:pPr>
          </w:p>
        </w:tc>
        <w:tc>
          <w:tcPr>
            <w:tcW w:w="780" w:type="dxa"/>
            <w:vAlign w:val="center"/>
          </w:tcPr>
          <w:p w14:paraId="735E8AF7">
            <w:pPr>
              <w:jc w:val="center"/>
              <w:rPr>
                <w:rFonts w:hint="eastAsia" w:ascii="宋体" w:hAnsi="宋体" w:eastAsia="宋体" w:cs="宋体"/>
                <w:color w:val="auto"/>
                <w:sz w:val="24"/>
                <w:highlight w:val="none"/>
              </w:rPr>
            </w:pPr>
          </w:p>
        </w:tc>
        <w:tc>
          <w:tcPr>
            <w:tcW w:w="765" w:type="dxa"/>
            <w:vAlign w:val="center"/>
          </w:tcPr>
          <w:p w14:paraId="0730EA04">
            <w:pPr>
              <w:jc w:val="center"/>
              <w:rPr>
                <w:rFonts w:hint="eastAsia" w:ascii="宋体" w:hAnsi="宋体" w:eastAsia="宋体" w:cs="宋体"/>
                <w:color w:val="auto"/>
                <w:sz w:val="24"/>
                <w:highlight w:val="none"/>
              </w:rPr>
            </w:pPr>
          </w:p>
        </w:tc>
        <w:tc>
          <w:tcPr>
            <w:tcW w:w="825" w:type="dxa"/>
            <w:vAlign w:val="center"/>
          </w:tcPr>
          <w:p w14:paraId="3119BEF2">
            <w:pPr>
              <w:jc w:val="center"/>
              <w:rPr>
                <w:rFonts w:hint="eastAsia" w:ascii="宋体" w:hAnsi="宋体" w:eastAsia="宋体" w:cs="宋体"/>
                <w:color w:val="auto"/>
                <w:sz w:val="24"/>
                <w:highlight w:val="none"/>
              </w:rPr>
            </w:pPr>
          </w:p>
        </w:tc>
        <w:tc>
          <w:tcPr>
            <w:tcW w:w="780" w:type="dxa"/>
            <w:vAlign w:val="center"/>
          </w:tcPr>
          <w:p w14:paraId="6EEE0659">
            <w:pPr>
              <w:jc w:val="center"/>
              <w:rPr>
                <w:rFonts w:hint="eastAsia" w:ascii="宋体" w:hAnsi="宋体" w:eastAsia="宋体" w:cs="宋体"/>
                <w:color w:val="auto"/>
                <w:sz w:val="24"/>
                <w:highlight w:val="none"/>
              </w:rPr>
            </w:pPr>
          </w:p>
        </w:tc>
        <w:tc>
          <w:tcPr>
            <w:tcW w:w="765" w:type="dxa"/>
            <w:vAlign w:val="center"/>
          </w:tcPr>
          <w:p w14:paraId="118D93DF">
            <w:pPr>
              <w:jc w:val="center"/>
              <w:rPr>
                <w:rFonts w:hint="eastAsia" w:ascii="宋体" w:hAnsi="宋体" w:eastAsia="宋体" w:cs="宋体"/>
                <w:color w:val="auto"/>
                <w:sz w:val="24"/>
                <w:highlight w:val="none"/>
              </w:rPr>
            </w:pPr>
          </w:p>
        </w:tc>
        <w:tc>
          <w:tcPr>
            <w:tcW w:w="579" w:type="dxa"/>
            <w:vAlign w:val="center"/>
          </w:tcPr>
          <w:p w14:paraId="1103B93B">
            <w:pPr>
              <w:jc w:val="center"/>
              <w:rPr>
                <w:rFonts w:hint="eastAsia" w:ascii="宋体" w:hAnsi="宋体" w:eastAsia="宋体" w:cs="宋体"/>
                <w:color w:val="auto"/>
                <w:sz w:val="24"/>
                <w:highlight w:val="none"/>
              </w:rPr>
            </w:pPr>
          </w:p>
        </w:tc>
        <w:tc>
          <w:tcPr>
            <w:tcW w:w="574" w:type="dxa"/>
            <w:vAlign w:val="center"/>
          </w:tcPr>
          <w:p w14:paraId="4CBF0A89">
            <w:pPr>
              <w:jc w:val="center"/>
              <w:rPr>
                <w:rFonts w:hint="eastAsia" w:ascii="宋体" w:hAnsi="宋体" w:eastAsia="宋体" w:cs="宋体"/>
                <w:color w:val="auto"/>
                <w:sz w:val="24"/>
                <w:highlight w:val="none"/>
              </w:rPr>
            </w:pPr>
          </w:p>
        </w:tc>
      </w:tr>
      <w:tr w14:paraId="7122D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3" w:type="dxa"/>
            <w:vAlign w:val="center"/>
          </w:tcPr>
          <w:p w14:paraId="2778570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425" w:type="dxa"/>
            <w:vAlign w:val="center"/>
          </w:tcPr>
          <w:p w14:paraId="105ED909">
            <w:pPr>
              <w:jc w:val="center"/>
              <w:rPr>
                <w:rFonts w:hint="eastAsia" w:ascii="宋体" w:hAnsi="宋体" w:eastAsia="宋体" w:cs="宋体"/>
                <w:color w:val="auto"/>
                <w:sz w:val="24"/>
                <w:highlight w:val="none"/>
              </w:rPr>
            </w:pPr>
          </w:p>
        </w:tc>
        <w:tc>
          <w:tcPr>
            <w:tcW w:w="960" w:type="dxa"/>
            <w:vAlign w:val="center"/>
          </w:tcPr>
          <w:p w14:paraId="037CF1E2">
            <w:pPr>
              <w:jc w:val="center"/>
              <w:rPr>
                <w:rFonts w:hint="eastAsia" w:ascii="宋体" w:hAnsi="宋体" w:eastAsia="宋体" w:cs="宋体"/>
                <w:color w:val="auto"/>
                <w:sz w:val="24"/>
                <w:highlight w:val="none"/>
              </w:rPr>
            </w:pPr>
          </w:p>
        </w:tc>
        <w:tc>
          <w:tcPr>
            <w:tcW w:w="810" w:type="dxa"/>
            <w:vAlign w:val="center"/>
          </w:tcPr>
          <w:p w14:paraId="5CBBDA83">
            <w:pPr>
              <w:jc w:val="center"/>
              <w:rPr>
                <w:rFonts w:hint="eastAsia" w:ascii="宋体" w:hAnsi="宋体" w:eastAsia="宋体" w:cs="宋体"/>
                <w:color w:val="auto"/>
                <w:sz w:val="24"/>
                <w:highlight w:val="none"/>
              </w:rPr>
            </w:pPr>
          </w:p>
        </w:tc>
        <w:tc>
          <w:tcPr>
            <w:tcW w:w="570" w:type="dxa"/>
            <w:vAlign w:val="center"/>
          </w:tcPr>
          <w:p w14:paraId="77DBB4D6">
            <w:pPr>
              <w:jc w:val="center"/>
              <w:rPr>
                <w:rFonts w:hint="eastAsia" w:ascii="宋体" w:hAnsi="宋体" w:eastAsia="宋体" w:cs="宋体"/>
                <w:color w:val="auto"/>
                <w:sz w:val="24"/>
                <w:highlight w:val="none"/>
              </w:rPr>
            </w:pPr>
          </w:p>
        </w:tc>
        <w:tc>
          <w:tcPr>
            <w:tcW w:w="495" w:type="dxa"/>
            <w:vAlign w:val="center"/>
          </w:tcPr>
          <w:p w14:paraId="7E9C4BDD">
            <w:pPr>
              <w:jc w:val="center"/>
              <w:rPr>
                <w:rFonts w:hint="eastAsia" w:ascii="宋体" w:hAnsi="宋体" w:eastAsia="宋体" w:cs="宋体"/>
                <w:color w:val="auto"/>
                <w:sz w:val="24"/>
                <w:highlight w:val="none"/>
              </w:rPr>
            </w:pPr>
          </w:p>
        </w:tc>
        <w:tc>
          <w:tcPr>
            <w:tcW w:w="795" w:type="dxa"/>
            <w:vAlign w:val="center"/>
          </w:tcPr>
          <w:p w14:paraId="22ED3158">
            <w:pPr>
              <w:jc w:val="center"/>
              <w:rPr>
                <w:rFonts w:hint="eastAsia" w:ascii="宋体" w:hAnsi="宋体" w:eastAsia="宋体" w:cs="宋体"/>
                <w:color w:val="auto"/>
                <w:sz w:val="24"/>
                <w:highlight w:val="none"/>
              </w:rPr>
            </w:pPr>
          </w:p>
        </w:tc>
        <w:tc>
          <w:tcPr>
            <w:tcW w:w="780" w:type="dxa"/>
            <w:vAlign w:val="center"/>
          </w:tcPr>
          <w:p w14:paraId="4EA9248D">
            <w:pPr>
              <w:jc w:val="center"/>
              <w:rPr>
                <w:rFonts w:hint="eastAsia" w:ascii="宋体" w:hAnsi="宋体" w:eastAsia="宋体" w:cs="宋体"/>
                <w:color w:val="auto"/>
                <w:sz w:val="24"/>
                <w:highlight w:val="none"/>
              </w:rPr>
            </w:pPr>
          </w:p>
        </w:tc>
        <w:tc>
          <w:tcPr>
            <w:tcW w:w="765" w:type="dxa"/>
            <w:vAlign w:val="center"/>
          </w:tcPr>
          <w:p w14:paraId="23A4AD4B">
            <w:pPr>
              <w:jc w:val="center"/>
              <w:rPr>
                <w:rFonts w:hint="eastAsia" w:ascii="宋体" w:hAnsi="宋体" w:eastAsia="宋体" w:cs="宋体"/>
                <w:color w:val="auto"/>
                <w:sz w:val="24"/>
                <w:highlight w:val="none"/>
              </w:rPr>
            </w:pPr>
          </w:p>
        </w:tc>
        <w:tc>
          <w:tcPr>
            <w:tcW w:w="825" w:type="dxa"/>
            <w:vAlign w:val="center"/>
          </w:tcPr>
          <w:p w14:paraId="4A60EB4E">
            <w:pPr>
              <w:jc w:val="center"/>
              <w:rPr>
                <w:rFonts w:hint="eastAsia" w:ascii="宋体" w:hAnsi="宋体" w:eastAsia="宋体" w:cs="宋体"/>
                <w:color w:val="auto"/>
                <w:sz w:val="24"/>
                <w:highlight w:val="none"/>
              </w:rPr>
            </w:pPr>
          </w:p>
        </w:tc>
        <w:tc>
          <w:tcPr>
            <w:tcW w:w="780" w:type="dxa"/>
            <w:vAlign w:val="center"/>
          </w:tcPr>
          <w:p w14:paraId="5BA2B965">
            <w:pPr>
              <w:jc w:val="center"/>
              <w:rPr>
                <w:rFonts w:hint="eastAsia" w:ascii="宋体" w:hAnsi="宋体" w:eastAsia="宋体" w:cs="宋体"/>
                <w:color w:val="auto"/>
                <w:sz w:val="24"/>
                <w:highlight w:val="none"/>
              </w:rPr>
            </w:pPr>
          </w:p>
        </w:tc>
        <w:tc>
          <w:tcPr>
            <w:tcW w:w="765" w:type="dxa"/>
            <w:vAlign w:val="center"/>
          </w:tcPr>
          <w:p w14:paraId="26B2B247">
            <w:pPr>
              <w:jc w:val="center"/>
              <w:rPr>
                <w:rFonts w:hint="eastAsia" w:ascii="宋体" w:hAnsi="宋体" w:eastAsia="宋体" w:cs="宋体"/>
                <w:color w:val="auto"/>
                <w:sz w:val="24"/>
                <w:highlight w:val="none"/>
              </w:rPr>
            </w:pPr>
          </w:p>
        </w:tc>
        <w:tc>
          <w:tcPr>
            <w:tcW w:w="579" w:type="dxa"/>
            <w:vAlign w:val="center"/>
          </w:tcPr>
          <w:p w14:paraId="4A8E8D17">
            <w:pPr>
              <w:jc w:val="center"/>
              <w:rPr>
                <w:rFonts w:hint="eastAsia" w:ascii="宋体" w:hAnsi="宋体" w:eastAsia="宋体" w:cs="宋体"/>
                <w:color w:val="auto"/>
                <w:sz w:val="24"/>
                <w:highlight w:val="none"/>
              </w:rPr>
            </w:pPr>
          </w:p>
        </w:tc>
        <w:tc>
          <w:tcPr>
            <w:tcW w:w="574" w:type="dxa"/>
            <w:vAlign w:val="center"/>
          </w:tcPr>
          <w:p w14:paraId="6C88CB3F">
            <w:pPr>
              <w:jc w:val="center"/>
              <w:rPr>
                <w:rFonts w:hint="eastAsia" w:ascii="宋体" w:hAnsi="宋体" w:eastAsia="宋体" w:cs="宋体"/>
                <w:color w:val="auto"/>
                <w:sz w:val="24"/>
                <w:highlight w:val="none"/>
              </w:rPr>
            </w:pPr>
          </w:p>
        </w:tc>
      </w:tr>
      <w:tr w14:paraId="249D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3" w:type="dxa"/>
            <w:vAlign w:val="center"/>
          </w:tcPr>
          <w:p w14:paraId="405006AE">
            <w:pPr>
              <w:jc w:val="center"/>
              <w:rPr>
                <w:rFonts w:hint="eastAsia" w:ascii="宋体" w:hAnsi="宋体" w:eastAsia="宋体" w:cs="宋体"/>
                <w:color w:val="auto"/>
                <w:sz w:val="24"/>
                <w:highlight w:val="none"/>
              </w:rPr>
            </w:pPr>
          </w:p>
        </w:tc>
        <w:tc>
          <w:tcPr>
            <w:tcW w:w="1425" w:type="dxa"/>
            <w:vAlign w:val="center"/>
          </w:tcPr>
          <w:p w14:paraId="05EBD09E">
            <w:pPr>
              <w:jc w:val="center"/>
              <w:rPr>
                <w:rFonts w:hint="eastAsia" w:ascii="宋体" w:hAnsi="宋体" w:eastAsia="宋体" w:cs="宋体"/>
                <w:color w:val="auto"/>
                <w:sz w:val="24"/>
                <w:highlight w:val="none"/>
              </w:rPr>
            </w:pPr>
          </w:p>
        </w:tc>
        <w:tc>
          <w:tcPr>
            <w:tcW w:w="960" w:type="dxa"/>
            <w:vAlign w:val="center"/>
          </w:tcPr>
          <w:p w14:paraId="5643B9AB">
            <w:pPr>
              <w:jc w:val="center"/>
              <w:rPr>
                <w:rFonts w:hint="eastAsia" w:ascii="宋体" w:hAnsi="宋体" w:eastAsia="宋体" w:cs="宋体"/>
                <w:color w:val="auto"/>
                <w:sz w:val="24"/>
                <w:highlight w:val="none"/>
              </w:rPr>
            </w:pPr>
          </w:p>
        </w:tc>
        <w:tc>
          <w:tcPr>
            <w:tcW w:w="810" w:type="dxa"/>
            <w:vAlign w:val="center"/>
          </w:tcPr>
          <w:p w14:paraId="64E27B5A">
            <w:pPr>
              <w:jc w:val="center"/>
              <w:rPr>
                <w:rFonts w:hint="eastAsia" w:ascii="宋体" w:hAnsi="宋体" w:eastAsia="宋体" w:cs="宋体"/>
                <w:color w:val="auto"/>
                <w:sz w:val="24"/>
                <w:highlight w:val="none"/>
              </w:rPr>
            </w:pPr>
          </w:p>
        </w:tc>
        <w:tc>
          <w:tcPr>
            <w:tcW w:w="570" w:type="dxa"/>
            <w:vAlign w:val="center"/>
          </w:tcPr>
          <w:p w14:paraId="48BBDEF0">
            <w:pPr>
              <w:jc w:val="center"/>
              <w:rPr>
                <w:rFonts w:hint="eastAsia" w:ascii="宋体" w:hAnsi="宋体" w:eastAsia="宋体" w:cs="宋体"/>
                <w:color w:val="auto"/>
                <w:sz w:val="24"/>
                <w:highlight w:val="none"/>
              </w:rPr>
            </w:pPr>
          </w:p>
        </w:tc>
        <w:tc>
          <w:tcPr>
            <w:tcW w:w="495" w:type="dxa"/>
            <w:vAlign w:val="center"/>
          </w:tcPr>
          <w:p w14:paraId="1071EFB3">
            <w:pPr>
              <w:jc w:val="center"/>
              <w:rPr>
                <w:rFonts w:hint="eastAsia" w:ascii="宋体" w:hAnsi="宋体" w:eastAsia="宋体" w:cs="宋体"/>
                <w:color w:val="auto"/>
                <w:sz w:val="24"/>
                <w:highlight w:val="none"/>
              </w:rPr>
            </w:pPr>
          </w:p>
        </w:tc>
        <w:tc>
          <w:tcPr>
            <w:tcW w:w="795" w:type="dxa"/>
            <w:vAlign w:val="center"/>
          </w:tcPr>
          <w:p w14:paraId="27FF68E4">
            <w:pPr>
              <w:jc w:val="center"/>
              <w:rPr>
                <w:rFonts w:hint="eastAsia" w:ascii="宋体" w:hAnsi="宋体" w:eastAsia="宋体" w:cs="宋体"/>
                <w:color w:val="auto"/>
                <w:sz w:val="24"/>
                <w:highlight w:val="none"/>
              </w:rPr>
            </w:pPr>
          </w:p>
        </w:tc>
        <w:tc>
          <w:tcPr>
            <w:tcW w:w="780" w:type="dxa"/>
            <w:vAlign w:val="center"/>
          </w:tcPr>
          <w:p w14:paraId="5BB9EA2C">
            <w:pPr>
              <w:jc w:val="center"/>
              <w:rPr>
                <w:rFonts w:hint="eastAsia" w:ascii="宋体" w:hAnsi="宋体" w:eastAsia="宋体" w:cs="宋体"/>
                <w:color w:val="auto"/>
                <w:sz w:val="24"/>
                <w:highlight w:val="none"/>
              </w:rPr>
            </w:pPr>
          </w:p>
        </w:tc>
        <w:tc>
          <w:tcPr>
            <w:tcW w:w="765" w:type="dxa"/>
            <w:vAlign w:val="center"/>
          </w:tcPr>
          <w:p w14:paraId="05006CA8">
            <w:pPr>
              <w:jc w:val="center"/>
              <w:rPr>
                <w:rFonts w:hint="eastAsia" w:ascii="宋体" w:hAnsi="宋体" w:eastAsia="宋体" w:cs="宋体"/>
                <w:color w:val="auto"/>
                <w:sz w:val="24"/>
                <w:highlight w:val="none"/>
              </w:rPr>
            </w:pPr>
          </w:p>
        </w:tc>
        <w:tc>
          <w:tcPr>
            <w:tcW w:w="825" w:type="dxa"/>
            <w:vAlign w:val="center"/>
          </w:tcPr>
          <w:p w14:paraId="0AEB889A">
            <w:pPr>
              <w:jc w:val="center"/>
              <w:rPr>
                <w:rFonts w:hint="eastAsia" w:ascii="宋体" w:hAnsi="宋体" w:eastAsia="宋体" w:cs="宋体"/>
                <w:color w:val="auto"/>
                <w:sz w:val="24"/>
                <w:highlight w:val="none"/>
              </w:rPr>
            </w:pPr>
          </w:p>
        </w:tc>
        <w:tc>
          <w:tcPr>
            <w:tcW w:w="780" w:type="dxa"/>
            <w:vAlign w:val="center"/>
          </w:tcPr>
          <w:p w14:paraId="2E64BCDD">
            <w:pPr>
              <w:jc w:val="center"/>
              <w:rPr>
                <w:rFonts w:hint="eastAsia" w:ascii="宋体" w:hAnsi="宋体" w:eastAsia="宋体" w:cs="宋体"/>
                <w:color w:val="auto"/>
                <w:sz w:val="24"/>
                <w:highlight w:val="none"/>
              </w:rPr>
            </w:pPr>
          </w:p>
        </w:tc>
        <w:tc>
          <w:tcPr>
            <w:tcW w:w="765" w:type="dxa"/>
            <w:vAlign w:val="center"/>
          </w:tcPr>
          <w:p w14:paraId="75FE8F86">
            <w:pPr>
              <w:jc w:val="center"/>
              <w:rPr>
                <w:rFonts w:hint="eastAsia" w:ascii="宋体" w:hAnsi="宋体" w:eastAsia="宋体" w:cs="宋体"/>
                <w:color w:val="auto"/>
                <w:sz w:val="24"/>
                <w:highlight w:val="none"/>
              </w:rPr>
            </w:pPr>
          </w:p>
        </w:tc>
        <w:tc>
          <w:tcPr>
            <w:tcW w:w="579" w:type="dxa"/>
            <w:vAlign w:val="center"/>
          </w:tcPr>
          <w:p w14:paraId="7599D446">
            <w:pPr>
              <w:jc w:val="center"/>
              <w:rPr>
                <w:rFonts w:hint="eastAsia" w:ascii="宋体" w:hAnsi="宋体" w:eastAsia="宋体" w:cs="宋体"/>
                <w:color w:val="auto"/>
                <w:sz w:val="24"/>
                <w:highlight w:val="none"/>
              </w:rPr>
            </w:pPr>
          </w:p>
        </w:tc>
        <w:tc>
          <w:tcPr>
            <w:tcW w:w="574" w:type="dxa"/>
            <w:vAlign w:val="center"/>
          </w:tcPr>
          <w:p w14:paraId="7DC5E330">
            <w:pPr>
              <w:jc w:val="center"/>
              <w:rPr>
                <w:rFonts w:hint="eastAsia" w:ascii="宋体" w:hAnsi="宋体" w:eastAsia="宋体" w:cs="宋体"/>
                <w:color w:val="auto"/>
                <w:sz w:val="24"/>
                <w:highlight w:val="none"/>
              </w:rPr>
            </w:pPr>
          </w:p>
        </w:tc>
      </w:tr>
      <w:tr w14:paraId="730AC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3" w:type="dxa"/>
            <w:vAlign w:val="center"/>
          </w:tcPr>
          <w:p w14:paraId="2D4847B8">
            <w:pPr>
              <w:jc w:val="center"/>
              <w:rPr>
                <w:rFonts w:hint="eastAsia" w:ascii="宋体" w:hAnsi="宋体" w:eastAsia="宋体" w:cs="宋体"/>
                <w:color w:val="auto"/>
                <w:sz w:val="24"/>
                <w:highlight w:val="none"/>
              </w:rPr>
            </w:pPr>
          </w:p>
        </w:tc>
        <w:tc>
          <w:tcPr>
            <w:tcW w:w="1425" w:type="dxa"/>
            <w:vAlign w:val="center"/>
          </w:tcPr>
          <w:p w14:paraId="31C474E0">
            <w:pPr>
              <w:jc w:val="center"/>
              <w:rPr>
                <w:rFonts w:hint="eastAsia" w:ascii="宋体" w:hAnsi="宋体" w:eastAsia="宋体" w:cs="宋体"/>
                <w:color w:val="auto"/>
                <w:sz w:val="24"/>
                <w:highlight w:val="none"/>
              </w:rPr>
            </w:pPr>
          </w:p>
        </w:tc>
        <w:tc>
          <w:tcPr>
            <w:tcW w:w="960" w:type="dxa"/>
            <w:vAlign w:val="center"/>
          </w:tcPr>
          <w:p w14:paraId="4BD14081">
            <w:pPr>
              <w:jc w:val="center"/>
              <w:rPr>
                <w:rFonts w:hint="eastAsia" w:ascii="宋体" w:hAnsi="宋体" w:eastAsia="宋体" w:cs="宋体"/>
                <w:color w:val="auto"/>
                <w:sz w:val="24"/>
                <w:highlight w:val="none"/>
              </w:rPr>
            </w:pPr>
          </w:p>
        </w:tc>
        <w:tc>
          <w:tcPr>
            <w:tcW w:w="810" w:type="dxa"/>
            <w:vAlign w:val="center"/>
          </w:tcPr>
          <w:p w14:paraId="505000C6">
            <w:pPr>
              <w:jc w:val="center"/>
              <w:rPr>
                <w:rFonts w:hint="eastAsia" w:ascii="宋体" w:hAnsi="宋体" w:eastAsia="宋体" w:cs="宋体"/>
                <w:color w:val="auto"/>
                <w:sz w:val="24"/>
                <w:highlight w:val="none"/>
              </w:rPr>
            </w:pPr>
          </w:p>
        </w:tc>
        <w:tc>
          <w:tcPr>
            <w:tcW w:w="570" w:type="dxa"/>
            <w:vAlign w:val="center"/>
          </w:tcPr>
          <w:p w14:paraId="3EF8B9FF">
            <w:pPr>
              <w:jc w:val="center"/>
              <w:rPr>
                <w:rFonts w:hint="eastAsia" w:ascii="宋体" w:hAnsi="宋体" w:eastAsia="宋体" w:cs="宋体"/>
                <w:color w:val="auto"/>
                <w:sz w:val="24"/>
                <w:highlight w:val="none"/>
              </w:rPr>
            </w:pPr>
          </w:p>
        </w:tc>
        <w:tc>
          <w:tcPr>
            <w:tcW w:w="495" w:type="dxa"/>
            <w:vAlign w:val="center"/>
          </w:tcPr>
          <w:p w14:paraId="52F6E8DC">
            <w:pPr>
              <w:jc w:val="center"/>
              <w:rPr>
                <w:rFonts w:hint="eastAsia" w:ascii="宋体" w:hAnsi="宋体" w:eastAsia="宋体" w:cs="宋体"/>
                <w:color w:val="auto"/>
                <w:sz w:val="24"/>
                <w:highlight w:val="none"/>
              </w:rPr>
            </w:pPr>
          </w:p>
        </w:tc>
        <w:tc>
          <w:tcPr>
            <w:tcW w:w="795" w:type="dxa"/>
            <w:vAlign w:val="center"/>
          </w:tcPr>
          <w:p w14:paraId="55DB8F98">
            <w:pPr>
              <w:jc w:val="center"/>
              <w:rPr>
                <w:rFonts w:hint="eastAsia" w:ascii="宋体" w:hAnsi="宋体" w:eastAsia="宋体" w:cs="宋体"/>
                <w:color w:val="auto"/>
                <w:sz w:val="24"/>
                <w:highlight w:val="none"/>
              </w:rPr>
            </w:pPr>
          </w:p>
        </w:tc>
        <w:tc>
          <w:tcPr>
            <w:tcW w:w="780" w:type="dxa"/>
            <w:vAlign w:val="center"/>
          </w:tcPr>
          <w:p w14:paraId="5313B8E5">
            <w:pPr>
              <w:jc w:val="center"/>
              <w:rPr>
                <w:rFonts w:hint="eastAsia" w:ascii="宋体" w:hAnsi="宋体" w:eastAsia="宋体" w:cs="宋体"/>
                <w:color w:val="auto"/>
                <w:sz w:val="24"/>
                <w:highlight w:val="none"/>
              </w:rPr>
            </w:pPr>
          </w:p>
        </w:tc>
        <w:tc>
          <w:tcPr>
            <w:tcW w:w="765" w:type="dxa"/>
            <w:vAlign w:val="center"/>
          </w:tcPr>
          <w:p w14:paraId="4EFF21A5">
            <w:pPr>
              <w:jc w:val="center"/>
              <w:rPr>
                <w:rFonts w:hint="eastAsia" w:ascii="宋体" w:hAnsi="宋体" w:eastAsia="宋体" w:cs="宋体"/>
                <w:color w:val="auto"/>
                <w:sz w:val="24"/>
                <w:highlight w:val="none"/>
              </w:rPr>
            </w:pPr>
          </w:p>
        </w:tc>
        <w:tc>
          <w:tcPr>
            <w:tcW w:w="825" w:type="dxa"/>
            <w:vAlign w:val="center"/>
          </w:tcPr>
          <w:p w14:paraId="5C927BE1">
            <w:pPr>
              <w:jc w:val="center"/>
              <w:rPr>
                <w:rFonts w:hint="eastAsia" w:ascii="宋体" w:hAnsi="宋体" w:eastAsia="宋体" w:cs="宋体"/>
                <w:color w:val="auto"/>
                <w:sz w:val="24"/>
                <w:highlight w:val="none"/>
              </w:rPr>
            </w:pPr>
          </w:p>
        </w:tc>
        <w:tc>
          <w:tcPr>
            <w:tcW w:w="780" w:type="dxa"/>
            <w:vAlign w:val="center"/>
          </w:tcPr>
          <w:p w14:paraId="22320983">
            <w:pPr>
              <w:jc w:val="center"/>
              <w:rPr>
                <w:rFonts w:hint="eastAsia" w:ascii="宋体" w:hAnsi="宋体" w:eastAsia="宋体" w:cs="宋体"/>
                <w:color w:val="auto"/>
                <w:sz w:val="24"/>
                <w:highlight w:val="none"/>
              </w:rPr>
            </w:pPr>
          </w:p>
        </w:tc>
        <w:tc>
          <w:tcPr>
            <w:tcW w:w="765" w:type="dxa"/>
            <w:vAlign w:val="center"/>
          </w:tcPr>
          <w:p w14:paraId="3E9A617E">
            <w:pPr>
              <w:jc w:val="center"/>
              <w:rPr>
                <w:rFonts w:hint="eastAsia" w:ascii="宋体" w:hAnsi="宋体" w:eastAsia="宋体" w:cs="宋体"/>
                <w:color w:val="auto"/>
                <w:sz w:val="24"/>
                <w:highlight w:val="none"/>
              </w:rPr>
            </w:pPr>
          </w:p>
        </w:tc>
        <w:tc>
          <w:tcPr>
            <w:tcW w:w="579" w:type="dxa"/>
            <w:vAlign w:val="center"/>
          </w:tcPr>
          <w:p w14:paraId="552ADB37">
            <w:pPr>
              <w:jc w:val="center"/>
              <w:rPr>
                <w:rFonts w:hint="eastAsia" w:ascii="宋体" w:hAnsi="宋体" w:eastAsia="宋体" w:cs="宋体"/>
                <w:color w:val="auto"/>
                <w:sz w:val="24"/>
                <w:highlight w:val="none"/>
              </w:rPr>
            </w:pPr>
          </w:p>
        </w:tc>
        <w:tc>
          <w:tcPr>
            <w:tcW w:w="574" w:type="dxa"/>
            <w:vAlign w:val="center"/>
          </w:tcPr>
          <w:p w14:paraId="3801E6E1">
            <w:pPr>
              <w:jc w:val="center"/>
              <w:rPr>
                <w:rFonts w:hint="eastAsia" w:ascii="宋体" w:hAnsi="宋体" w:eastAsia="宋体" w:cs="宋体"/>
                <w:color w:val="auto"/>
                <w:sz w:val="24"/>
                <w:highlight w:val="none"/>
              </w:rPr>
            </w:pPr>
          </w:p>
        </w:tc>
      </w:tr>
      <w:tr w14:paraId="26C6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963" w:type="dxa"/>
            <w:gridSpan w:val="6"/>
            <w:vAlign w:val="center"/>
          </w:tcPr>
          <w:p w14:paraId="2F326768">
            <w:pPr>
              <w:rPr>
                <w:rFonts w:hint="eastAsia" w:ascii="宋体" w:hAnsi="宋体" w:eastAsia="宋体" w:cs="宋体"/>
                <w:color w:val="auto"/>
                <w:sz w:val="24"/>
                <w:highlight w:val="none"/>
              </w:rPr>
            </w:pPr>
            <w:r>
              <w:rPr>
                <w:rFonts w:hint="eastAsia" w:ascii="宋体" w:hAnsi="宋体" w:eastAsia="宋体" w:cs="宋体"/>
                <w:color w:val="auto"/>
                <w:sz w:val="24"/>
                <w:highlight w:val="none"/>
              </w:rPr>
              <w:t>总报价（元）</w:t>
            </w:r>
          </w:p>
        </w:tc>
        <w:tc>
          <w:tcPr>
            <w:tcW w:w="5863" w:type="dxa"/>
            <w:gridSpan w:val="8"/>
            <w:vAlign w:val="center"/>
          </w:tcPr>
          <w:p w14:paraId="03365D0C">
            <w:pPr>
              <w:rPr>
                <w:rFonts w:hint="eastAsia" w:ascii="宋体" w:hAnsi="宋体" w:eastAsia="宋体" w:cs="宋体"/>
                <w:color w:val="auto"/>
                <w:sz w:val="24"/>
                <w:highlight w:val="none"/>
              </w:rPr>
            </w:pPr>
          </w:p>
        </w:tc>
      </w:tr>
    </w:tbl>
    <w:p w14:paraId="096C3CCB">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注：1.生产商规模（微型企业、小型企业、中型企业、大型企业）；生产商特殊属性（监狱企业、残疾人福利性单位、其他）；产品属性（节能  节水  环保  其他）。</w:t>
      </w:r>
    </w:p>
    <w:p w14:paraId="647A89CE">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2.此表中的内容请各</w:t>
      </w:r>
      <w:r>
        <w:rPr>
          <w:rFonts w:hint="eastAsia" w:ascii="宋体" w:hAnsi="宋体" w:eastAsia="宋体" w:cs="宋体"/>
          <w:b/>
          <w:bCs/>
          <w:color w:val="auto"/>
          <w:szCs w:val="21"/>
          <w:highlight w:val="none"/>
          <w:lang w:eastAsia="zh-CN"/>
        </w:rPr>
        <w:t>投标人</w:t>
      </w:r>
      <w:r>
        <w:rPr>
          <w:rFonts w:hint="eastAsia" w:ascii="宋体" w:hAnsi="宋体" w:eastAsia="宋体" w:cs="宋体"/>
          <w:b/>
          <w:bCs/>
          <w:color w:val="auto"/>
          <w:szCs w:val="21"/>
          <w:highlight w:val="none"/>
        </w:rPr>
        <w:t>根据招标文件的第</w:t>
      </w:r>
      <w:r>
        <w:rPr>
          <w:rFonts w:hint="eastAsia" w:ascii="宋体" w:hAnsi="宋体" w:eastAsia="宋体" w:cs="宋体"/>
          <w:b/>
          <w:bCs/>
          <w:color w:val="auto"/>
          <w:szCs w:val="21"/>
          <w:highlight w:val="none"/>
          <w:lang w:val="en-US" w:eastAsia="zh-CN"/>
        </w:rPr>
        <w:t>四</w:t>
      </w:r>
      <w:r>
        <w:rPr>
          <w:rFonts w:hint="eastAsia" w:ascii="宋体" w:hAnsi="宋体" w:eastAsia="宋体" w:cs="宋体"/>
          <w:b/>
          <w:bCs/>
          <w:color w:val="auto"/>
          <w:szCs w:val="21"/>
          <w:highlight w:val="none"/>
        </w:rPr>
        <w:t>章采购</w:t>
      </w:r>
      <w:r>
        <w:rPr>
          <w:rFonts w:hint="eastAsia" w:ascii="宋体" w:hAnsi="宋体" w:eastAsia="宋体" w:cs="宋体"/>
          <w:b/>
          <w:bCs/>
          <w:color w:val="auto"/>
          <w:szCs w:val="21"/>
          <w:highlight w:val="none"/>
          <w:lang w:val="en-US" w:eastAsia="zh-CN"/>
        </w:rPr>
        <w:t>需</w:t>
      </w:r>
      <w:r>
        <w:rPr>
          <w:rFonts w:hint="eastAsia" w:ascii="宋体" w:hAnsi="宋体" w:eastAsia="宋体" w:cs="宋体"/>
          <w:b/>
          <w:bCs/>
          <w:color w:val="auto"/>
          <w:szCs w:val="21"/>
          <w:highlight w:val="none"/>
        </w:rPr>
        <w:t>求内容顺序填写。</w:t>
      </w:r>
    </w:p>
    <w:p w14:paraId="153DD9A9">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3.投标总报价应等于所有分项报价之和，并且必须与投标（报价）一览表中投标总报价一致。</w:t>
      </w:r>
    </w:p>
    <w:p w14:paraId="6D8998AF">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4.所有价格均系用人民币表示，单位为元，小数点后保留两位。</w:t>
      </w:r>
    </w:p>
    <w:p w14:paraId="3F182297">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5.如制造商为小型或微型企业的，应在此表中予以明确并提供《中小企业声明函》。</w:t>
      </w:r>
    </w:p>
    <w:p w14:paraId="38E677FD">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6.投标人可自行对报价内容补充完善，格式可自行扩展。</w:t>
      </w:r>
    </w:p>
    <w:p w14:paraId="79BE6FD1">
      <w:pPr>
        <w:ind w:right="210"/>
        <w:jc w:val="left"/>
        <w:rPr>
          <w:rFonts w:hint="eastAsia" w:ascii="宋体" w:hAnsi="宋体" w:eastAsia="宋体" w:cs="宋体"/>
          <w:color w:val="auto"/>
          <w:sz w:val="24"/>
          <w:highlight w:val="none"/>
        </w:rPr>
      </w:pPr>
    </w:p>
    <w:p w14:paraId="44F92D2B">
      <w:pPr>
        <w:ind w:right="210"/>
        <w:jc w:val="left"/>
        <w:rPr>
          <w:rFonts w:hint="eastAsia" w:ascii="宋体" w:hAnsi="宋体" w:eastAsia="宋体" w:cs="宋体"/>
          <w:color w:val="auto"/>
          <w:sz w:val="24"/>
          <w:highlight w:val="none"/>
        </w:rPr>
      </w:pPr>
    </w:p>
    <w:p w14:paraId="00B558EF">
      <w:pPr>
        <w:spacing w:line="48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3B3E1AB0">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116C7F02">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5A71FB90">
      <w:pPr>
        <w:rPr>
          <w:rFonts w:hint="eastAsia" w:ascii="宋体" w:hAnsi="宋体" w:eastAsia="宋体" w:cs="宋体"/>
          <w:bCs/>
          <w:color w:val="auto"/>
          <w:sz w:val="36"/>
          <w:szCs w:val="36"/>
          <w:highlight w:val="none"/>
          <w:lang w:val="zh-CN"/>
        </w:rPr>
      </w:pPr>
      <w:r>
        <w:rPr>
          <w:rFonts w:hint="eastAsia" w:ascii="宋体" w:hAnsi="宋体" w:eastAsia="宋体" w:cs="宋体"/>
          <w:bCs/>
          <w:color w:val="auto"/>
          <w:sz w:val="36"/>
          <w:szCs w:val="36"/>
          <w:highlight w:val="none"/>
          <w:lang w:val="zh-CN"/>
        </w:rPr>
        <w:br w:type="page"/>
      </w:r>
    </w:p>
    <w:p w14:paraId="3DE965D8">
      <w:pPr>
        <w:pStyle w:val="5"/>
        <w:spacing w:before="0" w:line="240" w:lineRule="atLeast"/>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附2：</w:t>
      </w:r>
      <w:r>
        <w:rPr>
          <w:rFonts w:hint="eastAsia" w:ascii="宋体" w:hAnsi="宋体" w:eastAsia="宋体" w:cs="宋体"/>
          <w:color w:val="auto"/>
          <w:szCs w:val="28"/>
          <w:highlight w:val="none"/>
          <w:lang w:val="zh-CN"/>
        </w:rPr>
        <w:t>易损易耗件清单</w:t>
      </w:r>
    </w:p>
    <w:p w14:paraId="3A2A37DD">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74BAA780">
      <w:pPr>
        <w:rPr>
          <w:rFonts w:hint="eastAsia" w:ascii="宋体" w:hAnsi="宋体" w:eastAsia="宋体" w:cs="宋体"/>
          <w:bCs/>
          <w:color w:val="auto"/>
          <w:sz w:val="28"/>
          <w:szCs w:val="28"/>
          <w:highlight w:val="none"/>
          <w:lang w:val="en-US" w:eastAsia="zh-CN"/>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none"/>
          <w:lang w:val="en-US" w:eastAsia="zh-CN"/>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p>
    <w:tbl>
      <w:tblPr>
        <w:tblStyle w:val="42"/>
        <w:tblW w:w="94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599"/>
        <w:gridCol w:w="851"/>
        <w:gridCol w:w="850"/>
        <w:gridCol w:w="1134"/>
        <w:gridCol w:w="1276"/>
        <w:gridCol w:w="1021"/>
      </w:tblGrid>
      <w:tr w14:paraId="6DF6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14:paraId="5668CF60">
            <w:pPr>
              <w:widowControl/>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14:paraId="371FAEE8">
            <w:pPr>
              <w:widowControl/>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易损易耗件名称</w:t>
            </w:r>
          </w:p>
        </w:tc>
        <w:tc>
          <w:tcPr>
            <w:tcW w:w="1599" w:type="dxa"/>
            <w:tcBorders>
              <w:top w:val="single" w:color="auto" w:sz="4" w:space="0"/>
              <w:left w:val="single" w:color="auto" w:sz="4" w:space="0"/>
              <w:bottom w:val="single" w:color="auto" w:sz="4" w:space="0"/>
              <w:right w:val="single" w:color="auto" w:sz="4" w:space="0"/>
            </w:tcBorders>
            <w:vAlign w:val="center"/>
          </w:tcPr>
          <w:p w14:paraId="38FEA944">
            <w:pPr>
              <w:widowControl/>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规格型号</w:t>
            </w:r>
          </w:p>
        </w:tc>
        <w:tc>
          <w:tcPr>
            <w:tcW w:w="851" w:type="dxa"/>
            <w:tcBorders>
              <w:top w:val="single" w:color="auto" w:sz="4" w:space="0"/>
              <w:left w:val="single" w:color="auto" w:sz="4" w:space="0"/>
              <w:bottom w:val="single" w:color="auto" w:sz="4" w:space="0"/>
              <w:right w:val="single" w:color="auto" w:sz="4" w:space="0"/>
            </w:tcBorders>
            <w:vAlign w:val="center"/>
          </w:tcPr>
          <w:p w14:paraId="0CD15A27">
            <w:pPr>
              <w:widowControl/>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品牌</w:t>
            </w:r>
          </w:p>
        </w:tc>
        <w:tc>
          <w:tcPr>
            <w:tcW w:w="850" w:type="dxa"/>
            <w:tcBorders>
              <w:top w:val="single" w:color="auto" w:sz="4" w:space="0"/>
              <w:left w:val="single" w:color="auto" w:sz="4" w:space="0"/>
              <w:bottom w:val="single" w:color="auto" w:sz="4" w:space="0"/>
              <w:right w:val="single" w:color="auto" w:sz="4" w:space="0"/>
            </w:tcBorders>
            <w:vAlign w:val="center"/>
          </w:tcPr>
          <w:p w14:paraId="3B1DE903">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14:paraId="61333E63">
            <w:pPr>
              <w:widowControl/>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1276" w:type="dxa"/>
            <w:tcBorders>
              <w:top w:val="single" w:color="auto" w:sz="4" w:space="0"/>
              <w:left w:val="single" w:color="auto" w:sz="4" w:space="0"/>
              <w:bottom w:val="single" w:color="auto" w:sz="4" w:space="0"/>
              <w:right w:val="single" w:color="auto" w:sz="4" w:space="0"/>
            </w:tcBorders>
            <w:vAlign w:val="center"/>
          </w:tcPr>
          <w:p w14:paraId="6F83A19D">
            <w:pPr>
              <w:widowControl/>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14:paraId="1106475E">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备注</w:t>
            </w:r>
          </w:p>
        </w:tc>
      </w:tr>
      <w:tr w14:paraId="5F1C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769CB1A8">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51082F76">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36B42431">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20754910">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574AE127">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68EF8718">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208F2C9C">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348567FB">
            <w:pPr>
              <w:rPr>
                <w:rFonts w:hint="eastAsia" w:ascii="宋体" w:hAnsi="宋体" w:eastAsia="宋体" w:cs="宋体"/>
                <w:bCs/>
                <w:color w:val="auto"/>
                <w:sz w:val="24"/>
                <w:highlight w:val="none"/>
              </w:rPr>
            </w:pPr>
          </w:p>
        </w:tc>
      </w:tr>
      <w:tr w14:paraId="5A38D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19C046B2">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328E97F6">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68E05082">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66E43BD5">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40B1761B">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314D1DBF">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524B28DB">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47EA76FA">
            <w:pPr>
              <w:rPr>
                <w:rFonts w:hint="eastAsia" w:ascii="宋体" w:hAnsi="宋体" w:eastAsia="宋体" w:cs="宋体"/>
                <w:bCs/>
                <w:color w:val="auto"/>
                <w:sz w:val="24"/>
                <w:highlight w:val="none"/>
              </w:rPr>
            </w:pPr>
          </w:p>
        </w:tc>
      </w:tr>
      <w:tr w14:paraId="5B248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316249C5">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1DF01101">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455045DB">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25ADFF8A">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77A238F0">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3D38536B">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37CDD75B">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4599645F">
            <w:pPr>
              <w:rPr>
                <w:rFonts w:hint="eastAsia" w:ascii="宋体" w:hAnsi="宋体" w:eastAsia="宋体" w:cs="宋体"/>
                <w:bCs/>
                <w:color w:val="auto"/>
                <w:sz w:val="24"/>
                <w:highlight w:val="none"/>
              </w:rPr>
            </w:pPr>
          </w:p>
        </w:tc>
      </w:tr>
      <w:tr w14:paraId="2A9F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281B9B06">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4D81FA78">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26C03670">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61852EC8">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25062F6E">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7822543A">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04D8C47F">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001E45CC">
            <w:pPr>
              <w:rPr>
                <w:rFonts w:hint="eastAsia" w:ascii="宋体" w:hAnsi="宋体" w:eastAsia="宋体" w:cs="宋体"/>
                <w:bCs/>
                <w:color w:val="auto"/>
                <w:sz w:val="24"/>
                <w:highlight w:val="none"/>
              </w:rPr>
            </w:pPr>
          </w:p>
        </w:tc>
      </w:tr>
      <w:tr w14:paraId="7C86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20A08D47">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25F1E50D">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185B1554">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362B389F">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0BB053EE">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11B2F5FE">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6F1F6918">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0E1EC483">
            <w:pPr>
              <w:rPr>
                <w:rFonts w:hint="eastAsia" w:ascii="宋体" w:hAnsi="宋体" w:eastAsia="宋体" w:cs="宋体"/>
                <w:bCs/>
                <w:color w:val="auto"/>
                <w:sz w:val="24"/>
                <w:highlight w:val="none"/>
              </w:rPr>
            </w:pPr>
          </w:p>
        </w:tc>
      </w:tr>
      <w:tr w14:paraId="1986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0FDB2B70">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2C87C3ED">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3EB881E3">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595C1716">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5B005542">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4EC32406">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5A42C418">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549A24B5">
            <w:pPr>
              <w:rPr>
                <w:rFonts w:hint="eastAsia" w:ascii="宋体" w:hAnsi="宋体" w:eastAsia="宋体" w:cs="宋体"/>
                <w:bCs/>
                <w:color w:val="auto"/>
                <w:sz w:val="24"/>
                <w:highlight w:val="none"/>
              </w:rPr>
            </w:pPr>
          </w:p>
        </w:tc>
      </w:tr>
      <w:tr w14:paraId="3C09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4A7698B5">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3A0CE15F">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41BFA2D9">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61350500">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02563722">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7E0C35B2">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259D92E8">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47F5F976">
            <w:pPr>
              <w:rPr>
                <w:rFonts w:hint="eastAsia" w:ascii="宋体" w:hAnsi="宋体" w:eastAsia="宋体" w:cs="宋体"/>
                <w:bCs/>
                <w:color w:val="auto"/>
                <w:sz w:val="24"/>
                <w:highlight w:val="none"/>
              </w:rPr>
            </w:pPr>
          </w:p>
        </w:tc>
      </w:tr>
      <w:tr w14:paraId="476C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14:paraId="45F89ECB">
            <w:pPr>
              <w:rPr>
                <w:rFonts w:hint="eastAsia" w:ascii="宋体" w:hAnsi="宋体" w:eastAsia="宋体" w:cs="宋体"/>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14:paraId="5AD6FB92">
            <w:pPr>
              <w:rPr>
                <w:rFonts w:hint="eastAsia" w:ascii="宋体" w:hAnsi="宋体" w:eastAsia="宋体" w:cs="宋体"/>
                <w:bCs/>
                <w:color w:val="auto"/>
                <w:sz w:val="24"/>
                <w:highlight w:val="none"/>
              </w:rPr>
            </w:pPr>
          </w:p>
        </w:tc>
        <w:tc>
          <w:tcPr>
            <w:tcW w:w="1599" w:type="dxa"/>
            <w:tcBorders>
              <w:top w:val="single" w:color="auto" w:sz="4" w:space="0"/>
              <w:left w:val="single" w:color="auto" w:sz="4" w:space="0"/>
              <w:bottom w:val="single" w:color="auto" w:sz="4" w:space="0"/>
              <w:right w:val="single" w:color="auto" w:sz="4" w:space="0"/>
            </w:tcBorders>
          </w:tcPr>
          <w:p w14:paraId="7F785CAF">
            <w:pPr>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14:paraId="3CCC547F">
            <w:pPr>
              <w:rPr>
                <w:rFonts w:hint="eastAsia" w:ascii="宋体" w:hAnsi="宋体" w:eastAsia="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tcPr>
          <w:p w14:paraId="78767490">
            <w:pPr>
              <w:rPr>
                <w:rFonts w:hint="eastAsia" w:ascii="宋体" w:hAnsi="宋体" w:eastAsia="宋体" w:cs="宋体"/>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14:paraId="53E68150">
            <w:pP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14:paraId="3D3284B8">
            <w:pP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14:paraId="0E9AA468">
            <w:pPr>
              <w:rPr>
                <w:rFonts w:hint="eastAsia" w:ascii="宋体" w:hAnsi="宋体" w:eastAsia="宋体" w:cs="宋体"/>
                <w:bCs/>
                <w:color w:val="auto"/>
                <w:sz w:val="24"/>
                <w:highlight w:val="none"/>
              </w:rPr>
            </w:pPr>
          </w:p>
        </w:tc>
      </w:tr>
      <w:tr w14:paraId="1DB0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5994" w:type="dxa"/>
            <w:gridSpan w:val="5"/>
            <w:tcBorders>
              <w:top w:val="single" w:color="auto" w:sz="4" w:space="0"/>
              <w:left w:val="single" w:color="auto" w:sz="4" w:space="0"/>
              <w:bottom w:val="single" w:color="auto" w:sz="4" w:space="0"/>
              <w:right w:val="single" w:color="auto" w:sz="4" w:space="0"/>
            </w:tcBorders>
            <w:vAlign w:val="center"/>
          </w:tcPr>
          <w:p w14:paraId="38603E93">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合计（元）</w:t>
            </w:r>
          </w:p>
        </w:tc>
        <w:tc>
          <w:tcPr>
            <w:tcW w:w="1134" w:type="dxa"/>
            <w:tcBorders>
              <w:top w:val="single" w:color="auto" w:sz="4" w:space="0"/>
              <w:left w:val="single" w:color="auto" w:sz="4" w:space="0"/>
              <w:bottom w:val="single" w:color="auto" w:sz="4" w:space="0"/>
              <w:right w:val="single" w:color="auto" w:sz="4" w:space="0"/>
            </w:tcBorders>
            <w:vAlign w:val="center"/>
          </w:tcPr>
          <w:p w14:paraId="246621FB">
            <w:pPr>
              <w:jc w:val="center"/>
              <w:rPr>
                <w:rFonts w:hint="eastAsia" w:ascii="宋体" w:hAnsi="宋体" w:eastAsia="宋体" w:cs="宋体"/>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CAD4230">
            <w:pPr>
              <w:jc w:val="center"/>
              <w:rPr>
                <w:rFonts w:hint="eastAsia" w:ascii="宋体" w:hAnsi="宋体" w:eastAsia="宋体" w:cs="宋体"/>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vAlign w:val="center"/>
          </w:tcPr>
          <w:p w14:paraId="37EBD288">
            <w:pPr>
              <w:jc w:val="center"/>
              <w:rPr>
                <w:rFonts w:hint="eastAsia" w:ascii="宋体" w:hAnsi="宋体" w:eastAsia="宋体" w:cs="宋体"/>
                <w:bCs/>
                <w:color w:val="auto"/>
                <w:sz w:val="24"/>
                <w:highlight w:val="none"/>
              </w:rPr>
            </w:pPr>
          </w:p>
        </w:tc>
      </w:tr>
    </w:tbl>
    <w:p w14:paraId="275F02B2">
      <w:pPr>
        <w:spacing w:line="480" w:lineRule="auto"/>
        <w:jc w:val="left"/>
        <w:rPr>
          <w:rFonts w:hint="eastAsia" w:ascii="宋体" w:hAnsi="宋体" w:eastAsia="宋体" w:cs="宋体"/>
          <w:bCs/>
          <w:color w:val="auto"/>
          <w:sz w:val="24"/>
          <w:highlight w:val="none"/>
        </w:rPr>
      </w:pPr>
    </w:p>
    <w:p w14:paraId="5FCC57C1">
      <w:pPr>
        <w:spacing w:line="480" w:lineRule="auto"/>
        <w:jc w:val="left"/>
        <w:rPr>
          <w:rFonts w:hint="eastAsia" w:ascii="宋体" w:hAnsi="宋体" w:eastAsia="宋体" w:cs="宋体"/>
          <w:bCs/>
          <w:color w:val="auto"/>
          <w:sz w:val="24"/>
          <w:highlight w:val="none"/>
        </w:rPr>
      </w:pPr>
    </w:p>
    <w:p w14:paraId="2BFD105F">
      <w:pPr>
        <w:spacing w:line="48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344C07F">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07B4B35B">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43D38459">
      <w:pPr>
        <w:ind w:firstLine="560" w:firstLineChars="200"/>
        <w:rPr>
          <w:rFonts w:hint="eastAsia" w:ascii="宋体" w:hAnsi="宋体" w:eastAsia="宋体" w:cs="宋体"/>
          <w:bCs/>
          <w:color w:val="auto"/>
          <w:sz w:val="28"/>
          <w:szCs w:val="28"/>
          <w:highlight w:val="none"/>
        </w:rPr>
      </w:pPr>
    </w:p>
    <w:p w14:paraId="30C0F7E1">
      <w:pPr>
        <w:spacing w:line="240" w:lineRule="atLeast"/>
        <w:jc w:val="center"/>
        <w:outlineLvl w:val="1"/>
        <w:rPr>
          <w:rStyle w:val="135"/>
          <w:rFonts w:hint="eastAsia" w:ascii="宋体" w:hAnsi="宋体" w:eastAsia="宋体" w:cs="宋体"/>
          <w:color w:val="auto"/>
          <w:highlight w:val="none"/>
        </w:rPr>
      </w:pPr>
      <w:r>
        <w:rPr>
          <w:rStyle w:val="134"/>
          <w:rFonts w:hint="eastAsia" w:ascii="宋体" w:hAnsi="宋体" w:eastAsia="宋体" w:cs="宋体"/>
          <w:color w:val="auto"/>
          <w:sz w:val="36"/>
          <w:szCs w:val="22"/>
          <w:highlight w:val="none"/>
        </w:rPr>
        <w:br w:type="page"/>
      </w:r>
      <w:bookmarkStart w:id="279" w:name="_Toc12181"/>
      <w:bookmarkStart w:id="280" w:name="_Toc16500"/>
      <w:bookmarkStart w:id="281" w:name="_Toc17535"/>
      <w:bookmarkStart w:id="282" w:name="_Toc28095"/>
      <w:r>
        <w:rPr>
          <w:rStyle w:val="135"/>
          <w:rFonts w:hint="eastAsia" w:ascii="宋体" w:hAnsi="宋体" w:eastAsia="宋体" w:cs="宋体"/>
          <w:color w:val="auto"/>
          <w:highlight w:val="none"/>
        </w:rPr>
        <w:t>二、投标文件商务部分格式</w:t>
      </w:r>
      <w:bookmarkEnd w:id="279"/>
      <w:bookmarkEnd w:id="280"/>
      <w:bookmarkEnd w:id="281"/>
      <w:bookmarkEnd w:id="282"/>
    </w:p>
    <w:p w14:paraId="6BB12271">
      <w:pPr>
        <w:pStyle w:val="5"/>
        <w:spacing w:before="0" w:line="240" w:lineRule="atLeast"/>
        <w:jc w:val="center"/>
        <w:rPr>
          <w:rFonts w:hint="eastAsia" w:ascii="宋体" w:hAnsi="宋体" w:eastAsia="宋体" w:cs="宋体"/>
          <w:color w:val="auto"/>
          <w:szCs w:val="28"/>
          <w:highlight w:val="none"/>
        </w:rPr>
      </w:pPr>
      <w:bookmarkStart w:id="283" w:name="_Toc27956"/>
      <w:bookmarkStart w:id="284" w:name="_Toc5851"/>
      <w:r>
        <w:rPr>
          <w:rFonts w:hint="eastAsia" w:ascii="宋体" w:hAnsi="宋体" w:eastAsia="宋体" w:cs="宋体"/>
          <w:color w:val="auto"/>
          <w:szCs w:val="28"/>
          <w:highlight w:val="none"/>
        </w:rPr>
        <w:t>（一）投标函</w:t>
      </w:r>
      <w:bookmarkEnd w:id="283"/>
      <w:bookmarkEnd w:id="284"/>
    </w:p>
    <w:p w14:paraId="31CF9B1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73A1B2BE">
      <w:pPr>
        <w:pStyle w:val="2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我方仔细研究了</w:t>
      </w:r>
      <w:r>
        <w:rPr>
          <w:rFonts w:hint="eastAsia" w:ascii="宋体" w:hAnsi="宋体" w:eastAsia="宋体" w:cs="宋体"/>
          <w:color w:val="auto"/>
          <w:sz w:val="24"/>
          <w:szCs w:val="24"/>
          <w:highlight w:val="none"/>
          <w:u w:val="single"/>
        </w:rPr>
        <w:t>（采购项目名称）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）项目招标文件的全部内容，正式授权下述签字人 </w:t>
      </w:r>
      <w:r>
        <w:rPr>
          <w:rFonts w:hint="eastAsia" w:ascii="宋体" w:hAnsi="宋体" w:eastAsia="宋体" w:cs="宋体"/>
          <w:color w:val="auto"/>
          <w:sz w:val="24"/>
          <w:szCs w:val="24"/>
          <w:highlight w:val="none"/>
          <w:u w:val="single"/>
        </w:rPr>
        <w:t xml:space="preserve">（姓名和职务） </w:t>
      </w:r>
      <w:r>
        <w:rPr>
          <w:rFonts w:hint="eastAsia" w:ascii="宋体" w:hAnsi="宋体" w:eastAsia="宋体" w:cs="宋体"/>
          <w:color w:val="auto"/>
          <w:sz w:val="24"/>
          <w:szCs w:val="24"/>
          <w:highlight w:val="none"/>
        </w:rPr>
        <w:t>全权代表投标人</w:t>
      </w:r>
      <w:r>
        <w:rPr>
          <w:rFonts w:hint="eastAsia" w:ascii="宋体" w:hAnsi="宋体" w:eastAsia="宋体" w:cs="宋体"/>
          <w:color w:val="auto"/>
          <w:sz w:val="24"/>
          <w:szCs w:val="24"/>
          <w:highlight w:val="none"/>
          <w:u w:val="single"/>
        </w:rPr>
        <w:t xml:space="preserve"> （投标人全称）    </w:t>
      </w:r>
      <w:r>
        <w:rPr>
          <w:rFonts w:hint="eastAsia" w:ascii="宋体" w:hAnsi="宋体" w:eastAsia="宋体" w:cs="宋体"/>
          <w:color w:val="auto"/>
          <w:sz w:val="24"/>
          <w:szCs w:val="24"/>
          <w:highlight w:val="none"/>
        </w:rPr>
        <w:t>参加投标，并提交投标文件。</w:t>
      </w:r>
    </w:p>
    <w:p w14:paraId="246B8163">
      <w:pPr>
        <w:pStyle w:val="21"/>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1.按招标文件采购需求，对本项目投标总报价为：小写：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5EA0C3">
      <w:pPr>
        <w:pStyle w:val="21"/>
        <w:spacing w:line="360" w:lineRule="auto"/>
        <w:ind w:firstLine="480" w:firstLineChars="200"/>
        <w:rPr>
          <w:rFonts w:hint="eastAsia" w:ascii="宋体" w:hAnsi="宋体" w:eastAsia="宋体" w:cs="宋体"/>
          <w:color w:val="auto"/>
          <w:spacing w:val="-10"/>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10"/>
          <w:sz w:val="24"/>
          <w:szCs w:val="24"/>
          <w:highlight w:val="none"/>
        </w:rPr>
        <w:t>方已详细审查全部招标文件，包括</w:t>
      </w:r>
      <w:r>
        <w:rPr>
          <w:rFonts w:hint="eastAsia" w:ascii="宋体" w:hAnsi="宋体" w:eastAsia="宋体" w:cs="宋体"/>
          <w:iCs/>
          <w:color w:val="auto"/>
          <w:spacing w:val="-10"/>
          <w:sz w:val="24"/>
          <w:szCs w:val="24"/>
          <w:highlight w:val="none"/>
          <w:u w:val="single"/>
        </w:rPr>
        <w:t>（澄清文件）</w:t>
      </w:r>
      <w:r>
        <w:rPr>
          <w:rFonts w:hint="eastAsia" w:ascii="宋体" w:hAnsi="宋体" w:eastAsia="宋体" w:cs="宋体"/>
          <w:color w:val="auto"/>
          <w:spacing w:val="-10"/>
          <w:sz w:val="24"/>
          <w:szCs w:val="24"/>
          <w:highlight w:val="none"/>
          <w:u w:val="single"/>
        </w:rPr>
        <w:t>(如果有的话)</w:t>
      </w:r>
      <w:r>
        <w:rPr>
          <w:rFonts w:hint="eastAsia" w:ascii="宋体" w:hAnsi="宋体" w:eastAsia="宋体" w:cs="宋体"/>
          <w:color w:val="auto"/>
          <w:spacing w:val="-10"/>
          <w:sz w:val="24"/>
          <w:szCs w:val="24"/>
          <w:highlight w:val="none"/>
        </w:rPr>
        <w:t>。我方完全理解相关文件要求，并承担对这方面有不明及误解的后果。</w:t>
      </w:r>
    </w:p>
    <w:p w14:paraId="426363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3.在投标人须知规定的开标日期起遵循本投标文件，并在投标人须知规定的投标文件有效期满之前均具有约束力。</w:t>
      </w:r>
    </w:p>
    <w:p w14:paraId="1AE8F4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4.同意应贵方要求提供与本投标有关的任何数据或资料，并保证数据和资料的完整性和真实性。</w:t>
      </w:r>
    </w:p>
    <w:p w14:paraId="5CF9973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5.完全理解贵方不一定要接受最低报价的投标人为中标人的行为。</w:t>
      </w:r>
    </w:p>
    <w:p w14:paraId="0306F2F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6．如我方中标：</w:t>
      </w:r>
    </w:p>
    <w:p w14:paraId="23C348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（1）我方承诺在收到中标通知书后，在中标通知书规定的期限内与你方签订合同，并履行相应的合同责任和义务。</w:t>
      </w:r>
    </w:p>
    <w:p w14:paraId="38E328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（2）我方承诺按照招标文件规定向你方递交履约担保。</w:t>
      </w:r>
    </w:p>
    <w:p w14:paraId="0C1FF7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（3）我方承诺将承担售后服务及保修责任。</w:t>
      </w:r>
    </w:p>
    <w:p w14:paraId="3D07C5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7．我方在此声明，所递交的投标文件及有关资料内容完整、真实和准确。</w:t>
      </w:r>
    </w:p>
    <w:p w14:paraId="5349F0CD">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sz w:val="24"/>
          <w:highlight w:val="none"/>
        </w:rPr>
        <w:t>8.（其他补充说明）。</w:t>
      </w:r>
    </w:p>
    <w:p w14:paraId="73535CF1">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与本投标有关的正式通讯地址为：</w:t>
      </w:r>
    </w:p>
    <w:p w14:paraId="73C74928">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地址：</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邮政编码：</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电话：</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传真：</w:t>
      </w:r>
      <w:r>
        <w:rPr>
          <w:rFonts w:hint="eastAsia" w:ascii="宋体" w:hAnsi="宋体" w:eastAsia="宋体" w:cs="宋体"/>
          <w:color w:val="auto"/>
          <w:kern w:val="1"/>
          <w:sz w:val="24"/>
          <w:highlight w:val="none"/>
          <w:u w:val="single"/>
        </w:rPr>
        <w:tab/>
      </w:r>
      <w:r>
        <w:rPr>
          <w:rFonts w:hint="eastAsia" w:ascii="宋体" w:hAnsi="宋体" w:eastAsia="宋体" w:cs="宋体"/>
          <w:color w:val="auto"/>
          <w:kern w:val="1"/>
          <w:sz w:val="24"/>
          <w:highlight w:val="none"/>
          <w:u w:val="single"/>
        </w:rPr>
        <w:t xml:space="preserve">      </w:t>
      </w:r>
    </w:p>
    <w:p w14:paraId="2C7B2D40">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开户名称：</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开户银行：</w:t>
      </w:r>
      <w:r>
        <w:rPr>
          <w:rFonts w:hint="eastAsia" w:ascii="宋体" w:hAnsi="宋体" w:eastAsia="宋体" w:cs="宋体"/>
          <w:color w:val="auto"/>
          <w:kern w:val="1"/>
          <w:sz w:val="24"/>
          <w:highlight w:val="none"/>
          <w:u w:val="single"/>
        </w:rPr>
        <w:t xml:space="preserve">                     </w:t>
      </w:r>
    </w:p>
    <w:p w14:paraId="035735D8">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帐</w:t>
      </w:r>
      <w:r>
        <w:rPr>
          <w:rFonts w:hint="eastAsia" w:ascii="宋体" w:hAnsi="宋体" w:eastAsia="宋体" w:cs="宋体"/>
          <w:color w:val="auto"/>
          <w:kern w:val="1"/>
          <w:sz w:val="24"/>
          <w:highlight w:val="none"/>
        </w:rPr>
        <w:tab/>
      </w:r>
      <w:r>
        <w:rPr>
          <w:rFonts w:hint="eastAsia" w:ascii="宋体" w:hAnsi="宋体" w:eastAsia="宋体" w:cs="宋体"/>
          <w:color w:val="auto"/>
          <w:kern w:val="1"/>
          <w:sz w:val="24"/>
          <w:highlight w:val="none"/>
        </w:rPr>
        <w:t xml:space="preserve">号： </w:t>
      </w:r>
      <w:r>
        <w:rPr>
          <w:rFonts w:hint="eastAsia" w:ascii="宋体" w:hAnsi="宋体" w:eastAsia="宋体" w:cs="宋体"/>
          <w:color w:val="auto"/>
          <w:kern w:val="1"/>
          <w:sz w:val="24"/>
          <w:highlight w:val="none"/>
          <w:u w:val="single"/>
        </w:rPr>
        <w:t xml:space="preserve">                          </w:t>
      </w:r>
    </w:p>
    <w:p w14:paraId="5AD0C5AA">
      <w:pPr>
        <w:spacing w:line="360" w:lineRule="auto"/>
        <w:ind w:firstLine="480" w:firstLineChars="200"/>
        <w:jc w:val="left"/>
        <w:rPr>
          <w:rFonts w:hint="eastAsia" w:ascii="宋体" w:hAnsi="宋体" w:eastAsia="宋体" w:cs="宋体"/>
          <w:bCs/>
          <w:color w:val="auto"/>
          <w:sz w:val="24"/>
          <w:highlight w:val="none"/>
          <w:u w:val="single"/>
        </w:rPr>
      </w:pPr>
      <w:bookmarkStart w:id="285" w:name="_Toc8168205"/>
      <w:bookmarkStart w:id="286" w:name="_Toc11545"/>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B2797B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DBD13F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92488E2">
      <w:pPr>
        <w:rPr>
          <w:rFonts w:hint="eastAsia" w:ascii="宋体" w:hAnsi="宋体" w:eastAsia="宋体" w:cs="宋体"/>
          <w:color w:val="auto"/>
          <w:szCs w:val="28"/>
          <w:highlight w:val="none"/>
        </w:rPr>
      </w:pPr>
      <w:bookmarkStart w:id="287" w:name="_Toc26723"/>
      <w:r>
        <w:rPr>
          <w:rFonts w:hint="eastAsia" w:ascii="宋体" w:hAnsi="宋体" w:eastAsia="宋体" w:cs="宋体"/>
          <w:color w:val="auto"/>
          <w:szCs w:val="28"/>
          <w:highlight w:val="none"/>
        </w:rPr>
        <w:br w:type="page"/>
      </w:r>
    </w:p>
    <w:p w14:paraId="3E04DAFC">
      <w:pPr>
        <w:pStyle w:val="5"/>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（二）法定代表人身份证明书</w:t>
      </w:r>
      <w:bookmarkEnd w:id="285"/>
      <w:bookmarkEnd w:id="286"/>
      <w:bookmarkEnd w:id="287"/>
    </w:p>
    <w:p w14:paraId="7A3D79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p>
    <w:p w14:paraId="0C49443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p>
    <w:p w14:paraId="61C224A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9D6513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0F205EAD">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0DDF9D8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（投标人名称）        </w:t>
      </w:r>
      <w:r>
        <w:rPr>
          <w:rFonts w:hint="eastAsia" w:ascii="宋体" w:hAnsi="宋体" w:eastAsia="宋体" w:cs="宋体"/>
          <w:color w:val="auto"/>
          <w:sz w:val="24"/>
          <w:highlight w:val="none"/>
        </w:rPr>
        <w:t>的法定代表人。</w:t>
      </w:r>
    </w:p>
    <w:p w14:paraId="0D33157F">
      <w:pPr>
        <w:spacing w:line="360" w:lineRule="auto"/>
        <w:ind w:firstLine="480" w:firstLineChars="200"/>
        <w:rPr>
          <w:rFonts w:hint="eastAsia" w:ascii="宋体" w:hAnsi="宋体" w:eastAsia="宋体" w:cs="宋体"/>
          <w:color w:val="auto"/>
          <w:sz w:val="24"/>
          <w:highlight w:val="none"/>
        </w:rPr>
      </w:pPr>
    </w:p>
    <w:p w14:paraId="0AB9708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5A21F8C">
      <w:pPr>
        <w:spacing w:line="360" w:lineRule="auto"/>
        <w:rPr>
          <w:rFonts w:hint="eastAsia" w:ascii="宋体" w:hAnsi="宋体" w:eastAsia="宋体" w:cs="宋体"/>
          <w:color w:val="auto"/>
          <w:sz w:val="24"/>
          <w:highlight w:val="none"/>
        </w:rPr>
      </w:pPr>
    </w:p>
    <w:p w14:paraId="64E222F5">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FD82537">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006C81C4">
      <w:pPr>
        <w:spacing w:line="360" w:lineRule="auto"/>
        <w:rPr>
          <w:rFonts w:hint="eastAsia" w:ascii="宋体" w:hAnsi="宋体" w:eastAsia="宋体" w:cs="宋体"/>
          <w:color w:val="auto"/>
          <w:sz w:val="24"/>
          <w:highlight w:val="none"/>
        </w:rPr>
      </w:pPr>
    </w:p>
    <w:p w14:paraId="5174FF3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附:法人身份证扫描件</w:t>
      </w:r>
    </w:p>
    <w:p w14:paraId="74EE5C92">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79637A01">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1" name="矩形 9"/>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5pt;margin-top:12.75pt;height:145.1pt;width:213.2pt;z-index:251660288;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BgIX+Z/wEAAB8EAAAOAAAAZHJzL2Uyb0RvYy54bWytU0tu&#10;2zAQ3RfoHQjuG8lGEieC5SzqupuiDZD2AGOSkgjwBw5t2acp0F0P0eMUvUaHtOt82oUX1UIaisM3&#10;770Zzu921rCtiqi9a/nkouZMOeGldn3Lv3xevbnhDBM4CcY71fK9Qn63eP1qPoZGTf3gjVSREYjD&#10;ZgwtH1IKTVWhGJQFvPBBOdrsfLSQaBn7SkYYCd2aalrX19XoowzRC4VIf5eHTX5EjOcA+q7TQi29&#10;2Fjl0gE1KgOJJOGgA/JFYdt1SqRPXYcqMdNyUprKm4pQvM7vajGHpo8QBi2OFOAcCi80WdCOip6g&#10;lpCAbaL+C8pqET36Ll0Ib6uDkOIIqZjUL7x5GCCoooWsxnAyHf8frPi4vY9MS5oEzhxYavivr99/&#10;/vjGbrM3Y8CGUh7CfTyukMIsdNdFm78kge2Kn/uTn2qXmKCf01k9u74kqwXtTW4up7NZcbx6PB4i&#10;pvfKW5aDlkdqWPERth8wUUlK/ZOSq6E3Wq60MWUR+/VbE9kWqLmr8mTOdORZmnFsbPnt1fSKiABN&#10;bEeTQqENpBpdX+o9O4FPgevy/As4E1sCDgcCBSGnQWN1UtkvaAYF8p2TLO0DOevoQvFMxirJmVF0&#10;/3JUMhNoc04mqTOORObOHHqRo7WXe+rjJkTdD+TjpPDNOzQ3xZLjjOfBfLouSI/3ev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GAhf5n/AQAAHw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1312"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2" name="矩形 10"/>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 o:spid="_x0000_s1026" o:spt="1" style="position:absolute;left:0pt;margin-left:223.75pt;margin-top:12.2pt;height:145.6pt;width:213.8pt;mso-wrap-distance-left:9pt;mso-wrap-distance-right:9pt;z-index:-251655168;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eM+9W/gEAACAEAAAOAAAAZHJzL2Uyb0RvYy54bWyt&#10;U0uOEzEQ3SNxB8t70h+RYaaVziwIYYNgpIEDOLa725J/cjnp5DRI7DgEx0Fcg7I7JDPDLLKYXrir&#10;7PKreq/Ki9u90WQnAyhnW1rNSkqk5U4o27f029f1m2tKIDIrmHZWtvQggd4uX79ajL6RtRucFjIQ&#10;BLHQjL6lQ4y+KQrggzQMZs5Li4edC4ZFdENfiMBGRDe6qMvyqhhdED44LgFwdzUd0iNiuATQdZ3i&#10;cuX41kgbJ9QgNYtICQblgS5ztV0nefzSdSAj0S1FpjGvmATtTVqL5YI1fWB+UPxYArukhCecDFMW&#10;k56gViwysg3qPyijeHDgujjjzhQTkawIsqjKJ9rcD8zLzAWlBn8SHV4Oln/e3QWiREtrSiwz2PA/&#10;33/+/vWDVFmc0UODMff+LqBUyQM0E9N9F0z6Iweyz4IeToLKfSQcN+t31by+Qq05nlXXb2+qOqMW&#10;5+s+QPwonSHJaGnAjmUh2e4TREyJof9CUjZwWom10jo7od+814HsGHZ3nb/UULzyKExbMrb0Zl7P&#10;sRCGI9vhqKBpPNIG2+d8j27AQ+Ayf88Bp8JWDIapgIwwDZRRUSa9WDNIJj5YQeLBo7QWXxRNxRgp&#10;KNESH2CycmRkSl8Siey0RZLnXiRr48QBG7n1QfUD6ljletMJDk6W5DjkaTIf+hnp/LC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JyTWj2gAAAAoBAAAPAAAAAAAAAAEAIAAAACIAAABkcnMvZG93&#10;bnJldi54bWxQSwECFAAUAAAACACHTuJAnjPvVv4BAAAgBAAADgAAAAAAAAABACAAAAApAQAAZHJz&#10;L2Uyb0RvYy54bWxQSwUGAAAAAAYABgBZAQAAmQUAAAAA&#10;">
                <v:fill on="t" focussize="0,0"/>
                <v:stroke color="#000000" joinstyle="miter"/>
                <v:imagedata o:title=""/>
                <o:lock v:ext="edit" aspectratio="f"/>
                <w10:wrap type="through"/>
              </v:rect>
            </w:pict>
          </mc:Fallback>
        </mc:AlternateContent>
      </w:r>
    </w:p>
    <w:p w14:paraId="2A13519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0D3B4E10">
      <w:pPr>
        <w:spacing w:line="360" w:lineRule="auto"/>
        <w:rPr>
          <w:rFonts w:hint="eastAsia" w:ascii="宋体" w:hAnsi="宋体" w:eastAsia="宋体" w:cs="宋体"/>
          <w:color w:val="auto"/>
          <w:szCs w:val="21"/>
          <w:highlight w:val="none"/>
        </w:rPr>
      </w:pPr>
    </w:p>
    <w:p w14:paraId="622F6037">
      <w:pPr>
        <w:spacing w:line="360" w:lineRule="auto"/>
        <w:rPr>
          <w:rFonts w:hint="eastAsia" w:ascii="宋体" w:hAnsi="宋体" w:eastAsia="宋体" w:cs="宋体"/>
          <w:color w:val="auto"/>
          <w:szCs w:val="21"/>
          <w:highlight w:val="none"/>
        </w:rPr>
      </w:pPr>
    </w:p>
    <w:p w14:paraId="11EB93A7">
      <w:pPr>
        <w:spacing w:line="360" w:lineRule="auto"/>
        <w:rPr>
          <w:rFonts w:hint="eastAsia" w:ascii="宋体" w:hAnsi="宋体" w:eastAsia="宋体" w:cs="宋体"/>
          <w:color w:val="auto"/>
          <w:szCs w:val="21"/>
          <w:highlight w:val="none"/>
        </w:rPr>
      </w:pPr>
    </w:p>
    <w:p w14:paraId="2C3D4E3A">
      <w:pPr>
        <w:spacing w:line="360" w:lineRule="auto"/>
        <w:rPr>
          <w:rFonts w:hint="eastAsia" w:ascii="宋体" w:hAnsi="宋体" w:eastAsia="宋体" w:cs="宋体"/>
          <w:color w:val="auto"/>
          <w:szCs w:val="21"/>
          <w:highlight w:val="none"/>
        </w:rPr>
      </w:pPr>
    </w:p>
    <w:p w14:paraId="40D4A44D">
      <w:pPr>
        <w:spacing w:line="360" w:lineRule="auto"/>
        <w:rPr>
          <w:rFonts w:hint="eastAsia" w:ascii="宋体" w:hAnsi="宋体" w:eastAsia="宋体" w:cs="宋体"/>
          <w:color w:val="auto"/>
          <w:szCs w:val="21"/>
          <w:highlight w:val="none"/>
        </w:rPr>
      </w:pPr>
    </w:p>
    <w:p w14:paraId="042E2E9F">
      <w:pPr>
        <w:pStyle w:val="5"/>
        <w:spacing w:before="0"/>
        <w:jc w:val="center"/>
        <w:rPr>
          <w:rFonts w:hint="eastAsia" w:ascii="宋体" w:hAnsi="宋体" w:eastAsia="宋体" w:cs="宋体"/>
          <w:color w:val="auto"/>
          <w:szCs w:val="28"/>
          <w:highlight w:val="none"/>
        </w:rPr>
      </w:pPr>
      <w:bookmarkStart w:id="288" w:name="_Toc8168206"/>
      <w:r>
        <w:rPr>
          <w:rFonts w:hint="eastAsia" w:ascii="宋体" w:hAnsi="宋体" w:eastAsia="宋体" w:cs="宋体"/>
          <w:color w:val="auto"/>
          <w:szCs w:val="28"/>
          <w:highlight w:val="none"/>
        </w:rPr>
        <w:br w:type="page"/>
      </w:r>
      <w:bookmarkStart w:id="289" w:name="_Toc22629"/>
      <w:bookmarkStart w:id="290" w:name="_Toc24475"/>
      <w:r>
        <w:rPr>
          <w:rFonts w:hint="eastAsia" w:ascii="宋体" w:hAnsi="宋体" w:eastAsia="宋体" w:cs="宋体"/>
          <w:color w:val="auto"/>
          <w:szCs w:val="28"/>
          <w:highlight w:val="none"/>
        </w:rPr>
        <w:t>（三）法定代表人授权委托书</w:t>
      </w:r>
      <w:bookmarkEnd w:id="288"/>
      <w:bookmarkEnd w:id="289"/>
      <w:bookmarkEnd w:id="290"/>
    </w:p>
    <w:p w14:paraId="050B18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（投标人全称）     </w:t>
      </w:r>
      <w:r>
        <w:rPr>
          <w:rFonts w:hint="eastAsia" w:ascii="宋体" w:hAnsi="宋体" w:eastAsia="宋体" w:cs="宋体"/>
          <w:color w:val="auto"/>
          <w:sz w:val="24"/>
          <w:highlight w:val="none"/>
        </w:rPr>
        <w:t>的法定代表人代表本公司授权</w:t>
      </w:r>
      <w:r>
        <w:rPr>
          <w:rFonts w:hint="eastAsia" w:ascii="宋体" w:hAnsi="宋体" w:eastAsia="宋体" w:cs="宋体"/>
          <w:color w:val="auto"/>
          <w:sz w:val="24"/>
          <w:highlight w:val="none"/>
          <w:u w:val="single"/>
        </w:rPr>
        <w:t xml:space="preserve">   （委托代理人姓名）   </w:t>
      </w:r>
      <w:r>
        <w:rPr>
          <w:rFonts w:hint="eastAsia" w:ascii="宋体" w:hAnsi="宋体" w:eastAsia="宋体" w:cs="宋体"/>
          <w:color w:val="auto"/>
          <w:sz w:val="24"/>
          <w:highlight w:val="none"/>
        </w:rPr>
        <w:t>为本公司合法代理人，就贵方组织的有关</w:t>
      </w:r>
      <w:r>
        <w:rPr>
          <w:rFonts w:hint="eastAsia" w:ascii="宋体" w:hAnsi="宋体" w:eastAsia="宋体" w:cs="宋体"/>
          <w:color w:val="auto"/>
          <w:sz w:val="24"/>
          <w:highlight w:val="none"/>
          <w:u w:val="single"/>
        </w:rPr>
        <w:t xml:space="preserve">    （采购项目名称）  </w:t>
      </w: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）的招标，以本单位名义投标。代理人在本项目投标过程中所签署的一切文件和处理与之有关的一切事务，我方均予承认。</w:t>
      </w:r>
    </w:p>
    <w:p w14:paraId="53DF7F8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686F2BDE">
      <w:pPr>
        <w:spacing w:line="360" w:lineRule="auto"/>
        <w:ind w:firstLine="480" w:firstLineChars="200"/>
        <w:rPr>
          <w:rFonts w:hint="eastAsia" w:ascii="宋体" w:hAnsi="宋体" w:eastAsia="宋体" w:cs="宋体"/>
          <w:color w:val="auto"/>
          <w:sz w:val="24"/>
          <w:highlight w:val="none"/>
        </w:rPr>
      </w:pPr>
    </w:p>
    <w:p w14:paraId="71E164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495729E">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（电子签章或签名）</w:t>
      </w:r>
    </w:p>
    <w:p w14:paraId="6E6056F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8E8722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p>
    <w:p w14:paraId="6BF1108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r>
        <w:rPr>
          <w:rFonts w:hint="eastAsia" w:ascii="宋体" w:hAnsi="宋体" w:eastAsia="宋体" w:cs="宋体"/>
          <w:color w:val="auto"/>
          <w:sz w:val="24"/>
          <w:highlight w:val="none"/>
          <w:u w:val="single"/>
        </w:rPr>
        <w:t xml:space="preserve">                                </w:t>
      </w:r>
    </w:p>
    <w:p w14:paraId="363EEFB6">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DC7EAC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6CDF5C5">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附：委托代理人详细地址：</w:t>
      </w:r>
    </w:p>
    <w:p w14:paraId="43E52B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p w14:paraId="70EB3F7E">
      <w:pPr>
        <w:rPr>
          <w:rFonts w:hint="eastAsia" w:ascii="宋体" w:hAnsi="宋体" w:eastAsia="宋体" w:cs="宋体"/>
          <w:color w:val="auto"/>
          <w:sz w:val="24"/>
          <w:highlight w:val="none"/>
        </w:rPr>
      </w:pPr>
    </w:p>
    <w:p w14:paraId="1941B4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附：授权委托人身份证扫描件</w:t>
      </w:r>
    </w:p>
    <w:p w14:paraId="28C6A76A">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253A2776">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3" name="矩形 11"/>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1" o:spid="_x0000_s1026" o:spt="1" style="position:absolute;left:0pt;margin-left:2.75pt;margin-top:12.75pt;height:145.1pt;width:213.2pt;z-index:251662336;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DS8ouz/wEAACAEAAAOAAAAZHJzL2Uyb0RvYy54bWytU0uO&#10;EzEQ3SNxB8t70p0wMxla6cyCEDYIRho4QI3t7rbkn1xOOjkNEjsOwXEQ16DshMwHFlnQC3eVXX5V&#10;71V5cbOzhm1VRO1dy6eTmjPlhJfa9S3/8nn96pozTOAkGO9Uy/cK+c3y5YvFGBo184M3UkVGIA6b&#10;MbR8SCk0VYViUBZw4oNydNj5aCGRG/tKRhgJ3ZpqVtdX1eijDNELhUi7q8MhPyLGcwB912mhVl5s&#10;rHLpgBqVgUSUcNAB+bJU23VKpE9dhyox03JimspKSci+z2u1XEDTRwiDFscS4JwSnnGyoB0lPUGt&#10;IAHbRP0XlNUievRdmghvqwORogixmNbPtLkbIKjChaTGcBId/x+s+Li9jUzLlr/mzIGlhv/6+v3n&#10;j29sOs3ijAEbirkLt/HoIZmZ6a6LNv+JA9sVQfcnQdUuMUGbs3k9v7ogrQWdTa8vZvN5kbx6uB4i&#10;pvfKW5aNlkfqWBESth8wUUoK/ROSs6E3Wq61McWJ/f1bE9kWqLvr8uWa6cqTMOPY2PI3l7NLKgRo&#10;ZDsaFTJtINro+pLvyQ18DFyX71/AubAV4HAooCDkMGisTirrBc2gQL5zkqV9IGkdvSiei7FKcmYU&#10;PcBslcgE2pwTSeyMI5K5M4deZOveyz01chOi7gfSsTSvxNDgFEmOQ54n87FfkB4e9v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NLyi7P/AQAAIA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3360"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4" name="矩形 12"/>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2" o:spid="_x0000_s1026" o:spt="1" style="position:absolute;left:0pt;margin-left:223.75pt;margin-top:12.2pt;height:145.6pt;width:213.8pt;mso-wrap-distance-left:9pt;mso-wrap-distance-right:9pt;z-index:-251653120;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tCLEHAAIAACAEAAAOAAAAZHJzL2Uyb0RvYy54bWyt&#10;U0tu2zAQ3RfoHQjua1lCnCaC5SziupuiDZD0AGOKkgjwBw5t2acp0F0P0eMUvUaHtOt82oUX0UIa&#10;isM3770Zzm92RrOtDKicbXg5mXImrXCtsn3Dvz6s3l1xhhFsC9pZ2fC9RH6zePtmPvpaVm5wupWB&#10;EYjFevQNH2L0dVGgGKQBnDgvLW12LhiItAx90QYYCd3ooppOL4vRhdYHJyQi/V0eNvkRMZwD6LpO&#10;Cbl0YmOkjQfUIDVEkoSD8sgXmW3XSRG/dB3KyHTDSWnMbypC8Tq9i8Uc6j6AH5Q4UoBzKLzQZEBZ&#10;KnqCWkIEtgnqHyijRHDoujgRzhQHIdkRUlFOX3hzP4CXWQtZjf5kOr4erPi8vQtMtQ2/4MyCoYb/&#10;/vbj18/vrKySOaPHmnLu/V04rpDCpHTXBZO+pIHtsqH7k6FyF5mgn9X7clZdkteC9sqri+uyypYX&#10;j8d9wPhROsNS0PBAHctGwvYTRipJqX9TUjV0WrUrpXVehH59qwPbAnV3lZ/EmY48S9OWjQ2/nlUz&#10;IgI0sh2NCoXGk2y0fa737AQ+BZ7m53/AidgScDgQyAgpDWqjokx+QT1IaD/YlsW9J2st3SieyBjZ&#10;cqYlXcAU5cwISp+TSeq0JZGpM4depGjt2j01cuOD6gfyscx80w4NTrbkOORpMp+uM9LjxV7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nJNaPaAAAACgEAAA8AAAAAAAAAAQAgAAAAIgAAAGRycy9k&#10;b3ducmV2LnhtbFBLAQIUABQAAAAIAIdO4kCtCLEHAAIAACAEAAAOAAAAAAAAAAEAIAAAACkBAABk&#10;cnMvZTJvRG9jLnhtbFBLBQYAAAAABgAGAFkBAACbBQAAAAA=&#10;">
                <v:fill on="t" focussize="0,0"/>
                <v:stroke color="#000000" joinstyle="miter"/>
                <v:imagedata o:title=""/>
                <o:lock v:ext="edit" aspectratio="f"/>
                <w10:wrap type="through"/>
              </v:rect>
            </w:pict>
          </mc:Fallback>
        </mc:AlternateContent>
      </w:r>
    </w:p>
    <w:p w14:paraId="2FD2CC01">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12B03956">
      <w:pPr>
        <w:spacing w:line="360" w:lineRule="auto"/>
        <w:rPr>
          <w:rFonts w:hint="eastAsia" w:ascii="宋体" w:hAnsi="宋体" w:eastAsia="宋体" w:cs="宋体"/>
          <w:color w:val="auto"/>
          <w:szCs w:val="21"/>
          <w:highlight w:val="none"/>
        </w:rPr>
      </w:pPr>
    </w:p>
    <w:p w14:paraId="70A71F68">
      <w:pPr>
        <w:spacing w:line="360" w:lineRule="auto"/>
        <w:rPr>
          <w:rFonts w:hint="eastAsia" w:ascii="宋体" w:hAnsi="宋体" w:eastAsia="宋体" w:cs="宋体"/>
          <w:color w:val="auto"/>
          <w:szCs w:val="21"/>
          <w:highlight w:val="none"/>
        </w:rPr>
      </w:pPr>
    </w:p>
    <w:p w14:paraId="3456CAC3">
      <w:pPr>
        <w:spacing w:line="360" w:lineRule="auto"/>
        <w:rPr>
          <w:rFonts w:hint="eastAsia" w:ascii="宋体" w:hAnsi="宋体" w:eastAsia="宋体" w:cs="宋体"/>
          <w:color w:val="auto"/>
          <w:szCs w:val="21"/>
          <w:highlight w:val="none"/>
        </w:rPr>
      </w:pPr>
    </w:p>
    <w:p w14:paraId="12F9E385">
      <w:pPr>
        <w:spacing w:line="360" w:lineRule="auto"/>
        <w:rPr>
          <w:rFonts w:hint="eastAsia" w:ascii="宋体" w:hAnsi="宋体" w:eastAsia="宋体" w:cs="宋体"/>
          <w:color w:val="auto"/>
          <w:szCs w:val="21"/>
          <w:highlight w:val="none"/>
        </w:rPr>
      </w:pPr>
    </w:p>
    <w:p w14:paraId="14CC96C1">
      <w:pPr>
        <w:spacing w:line="360" w:lineRule="auto"/>
        <w:rPr>
          <w:rFonts w:hint="eastAsia" w:ascii="宋体" w:hAnsi="宋体" w:eastAsia="宋体" w:cs="宋体"/>
          <w:color w:val="auto"/>
          <w:szCs w:val="21"/>
          <w:highlight w:val="none"/>
        </w:rPr>
      </w:pPr>
    </w:p>
    <w:p w14:paraId="14E626DA">
      <w:pPr>
        <w:pStyle w:val="2"/>
        <w:rPr>
          <w:rFonts w:hint="eastAsia" w:ascii="宋体" w:hAnsi="宋体" w:eastAsia="宋体" w:cs="宋体"/>
          <w:color w:val="auto"/>
          <w:highlight w:val="none"/>
        </w:rPr>
        <w:sectPr>
          <w:headerReference r:id="rId8" w:type="default"/>
          <w:footerReference r:id="rId9" w:type="default"/>
          <w:pgSz w:w="11906" w:h="16838"/>
          <w:pgMar w:top="1247" w:right="1247" w:bottom="1247" w:left="1247" w:header="964" w:footer="992" w:gutter="0"/>
          <w:pgNumType w:fmt="decimal"/>
          <w:cols w:space="0" w:num="1"/>
          <w:docGrid w:type="lines" w:linePitch="319" w:charSpace="0"/>
        </w:sectPr>
      </w:pPr>
    </w:p>
    <w:p w14:paraId="40E6C727">
      <w:pPr>
        <w:pStyle w:val="5"/>
        <w:spacing w:before="0"/>
        <w:jc w:val="center"/>
        <w:rPr>
          <w:rFonts w:hint="eastAsia" w:ascii="宋体" w:hAnsi="宋体" w:eastAsia="宋体" w:cs="宋体"/>
          <w:color w:val="auto"/>
          <w:highlight w:val="none"/>
        </w:rPr>
      </w:pPr>
      <w:bookmarkStart w:id="291" w:name="_Toc78603131"/>
      <w:bookmarkStart w:id="292" w:name="_Toc403381115"/>
      <w:bookmarkStart w:id="293" w:name="_Toc2849"/>
      <w:bookmarkStart w:id="294" w:name="_Toc28914"/>
      <w:bookmarkStart w:id="295" w:name="_Toc8761"/>
      <w:bookmarkStart w:id="296" w:name="_Toc4391"/>
      <w:bookmarkStart w:id="297" w:name="_Toc5671"/>
      <w:bookmarkStart w:id="298" w:name="_Toc24385"/>
      <w:bookmarkStart w:id="299" w:name="_Toc491166395"/>
      <w:bookmarkStart w:id="300" w:name="_Toc392492454"/>
      <w:bookmarkStart w:id="301" w:name="_Toc17336"/>
      <w:bookmarkStart w:id="302" w:name="_Toc392492193"/>
      <w:bookmarkStart w:id="303" w:name="_Toc381109076"/>
      <w:bookmarkStart w:id="304" w:name="_Toc213141100"/>
      <w:r>
        <w:rPr>
          <w:rFonts w:hint="eastAsia" w:ascii="宋体" w:hAnsi="宋体" w:eastAsia="宋体" w:cs="宋体"/>
          <w:color w:val="auto"/>
          <w:szCs w:val="28"/>
          <w:highlight w:val="none"/>
        </w:rPr>
        <w:t>（四）</w:t>
      </w:r>
      <w:bookmarkEnd w:id="291"/>
      <w:bookmarkEnd w:id="292"/>
      <w:r>
        <w:rPr>
          <w:rFonts w:hint="eastAsia" w:ascii="宋体" w:hAnsi="宋体" w:eastAsia="宋体" w:cs="宋体"/>
          <w:color w:val="auto"/>
          <w:szCs w:val="28"/>
          <w:highlight w:val="none"/>
        </w:rPr>
        <w:t>投标保证金缴纳凭证</w:t>
      </w:r>
      <w:bookmarkEnd w:id="293"/>
      <w:bookmarkEnd w:id="294"/>
      <w:bookmarkEnd w:id="295"/>
      <w:bookmarkEnd w:id="296"/>
      <w:bookmarkEnd w:id="297"/>
    </w:p>
    <w:p w14:paraId="1210B636">
      <w:pPr>
        <w:jc w:val="center"/>
        <w:rPr>
          <w:rFonts w:hint="eastAsia" w:ascii="宋体" w:hAnsi="宋体" w:eastAsia="宋体" w:cs="宋体"/>
          <w:color w:val="auto"/>
          <w:szCs w:val="28"/>
          <w:highlight w:val="none"/>
        </w:rPr>
      </w:pPr>
      <w:r>
        <w:rPr>
          <w:rFonts w:hint="eastAsia" w:ascii="宋体" w:hAnsi="宋体" w:eastAsia="宋体" w:cs="宋体"/>
          <w:color w:val="auto"/>
          <w:sz w:val="24"/>
          <w:highlight w:val="none"/>
        </w:rPr>
        <w:t>开户证明材料及投标保证金缴纳凭证复印件</w:t>
      </w:r>
      <w:r>
        <w:rPr>
          <w:rFonts w:hint="eastAsia" w:ascii="宋体" w:hAnsi="宋体" w:eastAsia="宋体" w:cs="宋体"/>
          <w:color w:val="auto"/>
          <w:szCs w:val="28"/>
          <w:highlight w:val="none"/>
        </w:rPr>
        <w:br w:type="page"/>
      </w:r>
    </w:p>
    <w:p w14:paraId="55C720F1">
      <w:pPr>
        <w:pStyle w:val="5"/>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（五）商务条款偏离表</w:t>
      </w:r>
      <w:bookmarkEnd w:id="298"/>
      <w:bookmarkEnd w:id="299"/>
      <w:bookmarkEnd w:id="300"/>
      <w:bookmarkEnd w:id="301"/>
      <w:bookmarkEnd w:id="302"/>
      <w:bookmarkEnd w:id="303"/>
      <w:bookmarkEnd w:id="304"/>
    </w:p>
    <w:p w14:paraId="67894861">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投标人须逐条对应招标文件中要求的商务条款，认真填写该表。</w:t>
      </w:r>
    </w:p>
    <w:p w14:paraId="59BCEDA3">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商务条款是指：招标文件第</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章《采购需求》及招标文件中要求的合同履行期限、</w:t>
      </w:r>
      <w:r>
        <w:rPr>
          <w:rFonts w:hint="eastAsia" w:ascii="宋体" w:hAnsi="宋体" w:eastAsia="宋体" w:cs="宋体"/>
          <w:color w:val="auto"/>
          <w:sz w:val="24"/>
          <w:szCs w:val="24"/>
          <w:highlight w:val="none"/>
          <w:lang w:val="en-US" w:eastAsia="zh-CN"/>
        </w:rPr>
        <w:t>质量标准、质保期、</w:t>
      </w:r>
      <w:r>
        <w:rPr>
          <w:rFonts w:hint="eastAsia" w:ascii="宋体" w:hAnsi="宋体" w:eastAsia="宋体" w:cs="宋体"/>
          <w:color w:val="auto"/>
          <w:sz w:val="24"/>
          <w:szCs w:val="24"/>
          <w:highlight w:val="none"/>
        </w:rPr>
        <w:t>项目实施地点等要求。</w:t>
      </w:r>
    </w:p>
    <w:p w14:paraId="39C35ED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A、□我公司已详细阅读招标文件中各项商务要求，所有商务要求均无偏离，中标后我公司将严格遵照执行。</w:t>
      </w:r>
    </w:p>
    <w:p w14:paraId="2828E08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B、□我公司已详细阅读招标文件中各项商务要求，除下述条款有偏离外，其余条款我公司均予以认可，中标后将严格遵照执行。</w:t>
      </w:r>
    </w:p>
    <w:p w14:paraId="2E9D500F">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p>
    <w:p w14:paraId="60A898D8">
      <w:pPr>
        <w:pStyle w:val="21"/>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Cs/>
          <w:color w:val="auto"/>
          <w:sz w:val="24"/>
          <w:szCs w:val="24"/>
          <w:highlight w:val="none"/>
        </w:rP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620"/>
        <w:gridCol w:w="2600"/>
        <w:gridCol w:w="2595"/>
        <w:gridCol w:w="2006"/>
      </w:tblGrid>
      <w:tr w14:paraId="1B86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vAlign w:val="center"/>
          </w:tcPr>
          <w:p w14:paraId="30BC1365">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0A046593">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招标文件页码及条目号</w:t>
            </w:r>
          </w:p>
        </w:tc>
        <w:tc>
          <w:tcPr>
            <w:tcW w:w="2600" w:type="dxa"/>
            <w:tcBorders>
              <w:top w:val="single" w:color="auto" w:sz="4" w:space="0"/>
              <w:left w:val="single" w:color="auto" w:sz="4" w:space="0"/>
              <w:bottom w:val="single" w:color="auto" w:sz="4" w:space="0"/>
              <w:right w:val="single" w:color="auto" w:sz="4" w:space="0"/>
            </w:tcBorders>
            <w:vAlign w:val="center"/>
          </w:tcPr>
          <w:p w14:paraId="0C91658F">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招标文件的商务条款</w:t>
            </w:r>
          </w:p>
        </w:tc>
        <w:tc>
          <w:tcPr>
            <w:tcW w:w="2595" w:type="dxa"/>
            <w:tcBorders>
              <w:top w:val="single" w:color="auto" w:sz="4" w:space="0"/>
              <w:left w:val="single" w:color="auto" w:sz="4" w:space="0"/>
              <w:bottom w:val="single" w:color="auto" w:sz="4" w:space="0"/>
              <w:right w:val="single" w:color="auto" w:sz="4" w:space="0"/>
            </w:tcBorders>
            <w:vAlign w:val="center"/>
          </w:tcPr>
          <w:p w14:paraId="598BC49E">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投标文件的商务条款</w:t>
            </w:r>
          </w:p>
        </w:tc>
        <w:tc>
          <w:tcPr>
            <w:tcW w:w="2006" w:type="dxa"/>
            <w:tcBorders>
              <w:top w:val="single" w:color="auto" w:sz="4" w:space="0"/>
              <w:left w:val="single" w:color="auto" w:sz="4" w:space="0"/>
              <w:bottom w:val="single" w:color="auto" w:sz="4" w:space="0"/>
              <w:right w:val="single" w:color="auto" w:sz="4" w:space="0"/>
            </w:tcBorders>
            <w:vAlign w:val="center"/>
          </w:tcPr>
          <w:p w14:paraId="45A7D489">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响应情况说明</w:t>
            </w:r>
          </w:p>
        </w:tc>
      </w:tr>
      <w:tr w14:paraId="0729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4D882FF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34383F3">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D33E06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FA8EF0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F51518A">
            <w:pPr>
              <w:pStyle w:val="21"/>
              <w:rPr>
                <w:rFonts w:hint="eastAsia" w:ascii="宋体" w:hAnsi="宋体" w:eastAsia="宋体" w:cs="宋体"/>
                <w:color w:val="auto"/>
                <w:sz w:val="24"/>
                <w:szCs w:val="24"/>
                <w:highlight w:val="none"/>
              </w:rPr>
            </w:pPr>
          </w:p>
        </w:tc>
      </w:tr>
      <w:tr w14:paraId="5DF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8C4787E">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9F57940">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2307E9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5A352EEC">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8F4807E">
            <w:pPr>
              <w:pStyle w:val="21"/>
              <w:rPr>
                <w:rFonts w:hint="eastAsia" w:ascii="宋体" w:hAnsi="宋体" w:eastAsia="宋体" w:cs="宋体"/>
                <w:color w:val="auto"/>
                <w:sz w:val="24"/>
                <w:szCs w:val="24"/>
                <w:highlight w:val="none"/>
              </w:rPr>
            </w:pPr>
          </w:p>
        </w:tc>
      </w:tr>
      <w:tr w14:paraId="4DF4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6E4E3EA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5257091">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F6CB9C">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F12FFF6">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4FF21253">
            <w:pPr>
              <w:pStyle w:val="21"/>
              <w:rPr>
                <w:rFonts w:hint="eastAsia" w:ascii="宋体" w:hAnsi="宋体" w:eastAsia="宋体" w:cs="宋体"/>
                <w:color w:val="auto"/>
                <w:sz w:val="24"/>
                <w:szCs w:val="24"/>
                <w:highlight w:val="none"/>
              </w:rPr>
            </w:pPr>
          </w:p>
        </w:tc>
      </w:tr>
      <w:tr w14:paraId="31F0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4A5B40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38DB2BF7">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55017585">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E57942B">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565132B">
            <w:pPr>
              <w:pStyle w:val="21"/>
              <w:rPr>
                <w:rFonts w:hint="eastAsia" w:ascii="宋体" w:hAnsi="宋体" w:eastAsia="宋体" w:cs="宋体"/>
                <w:color w:val="auto"/>
                <w:sz w:val="24"/>
                <w:szCs w:val="24"/>
                <w:highlight w:val="none"/>
              </w:rPr>
            </w:pPr>
          </w:p>
        </w:tc>
      </w:tr>
      <w:tr w14:paraId="7861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44E177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4259E4C8">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34C5EEE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421B259">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537323F1">
            <w:pPr>
              <w:pStyle w:val="21"/>
              <w:rPr>
                <w:rFonts w:hint="eastAsia" w:ascii="宋体" w:hAnsi="宋体" w:eastAsia="宋体" w:cs="宋体"/>
                <w:color w:val="auto"/>
                <w:sz w:val="24"/>
                <w:szCs w:val="24"/>
                <w:highlight w:val="none"/>
              </w:rPr>
            </w:pPr>
          </w:p>
        </w:tc>
      </w:tr>
      <w:tr w14:paraId="236B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0C28DB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E4A9595">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88B243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557EBD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7F4C1200">
            <w:pPr>
              <w:pStyle w:val="21"/>
              <w:rPr>
                <w:rFonts w:hint="eastAsia" w:ascii="宋体" w:hAnsi="宋体" w:eastAsia="宋体" w:cs="宋体"/>
                <w:color w:val="auto"/>
                <w:sz w:val="24"/>
                <w:szCs w:val="24"/>
                <w:highlight w:val="none"/>
              </w:rPr>
            </w:pPr>
          </w:p>
        </w:tc>
      </w:tr>
      <w:tr w14:paraId="162B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724030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A8AD96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33C8E1">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424DDE1F">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A23B68A">
            <w:pPr>
              <w:pStyle w:val="21"/>
              <w:rPr>
                <w:rFonts w:hint="eastAsia" w:ascii="宋体" w:hAnsi="宋体" w:eastAsia="宋体" w:cs="宋体"/>
                <w:color w:val="auto"/>
                <w:sz w:val="24"/>
                <w:szCs w:val="24"/>
                <w:highlight w:val="none"/>
              </w:rPr>
            </w:pPr>
          </w:p>
        </w:tc>
      </w:tr>
      <w:tr w14:paraId="6B3C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548A2B6">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0CD352A">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1AB112C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09B446D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339D9B49">
            <w:pPr>
              <w:pStyle w:val="21"/>
              <w:rPr>
                <w:rFonts w:hint="eastAsia" w:ascii="宋体" w:hAnsi="宋体" w:eastAsia="宋体" w:cs="宋体"/>
                <w:color w:val="auto"/>
                <w:sz w:val="24"/>
                <w:szCs w:val="24"/>
                <w:highlight w:val="none"/>
              </w:rPr>
            </w:pPr>
          </w:p>
        </w:tc>
      </w:tr>
      <w:tr w14:paraId="510C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703298B">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BB13EAC">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378F78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1446EAA1">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37392B5">
            <w:pPr>
              <w:pStyle w:val="21"/>
              <w:rPr>
                <w:rFonts w:hint="eastAsia" w:ascii="宋体" w:hAnsi="宋体" w:eastAsia="宋体" w:cs="宋体"/>
                <w:color w:val="auto"/>
                <w:sz w:val="24"/>
                <w:szCs w:val="24"/>
                <w:highlight w:val="none"/>
              </w:rPr>
            </w:pPr>
          </w:p>
        </w:tc>
      </w:tr>
      <w:tr w14:paraId="0064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0B23DC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E9501F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B0369D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215482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2D5C41F4">
            <w:pPr>
              <w:pStyle w:val="21"/>
              <w:rPr>
                <w:rFonts w:hint="eastAsia" w:ascii="宋体" w:hAnsi="宋体" w:eastAsia="宋体" w:cs="宋体"/>
                <w:color w:val="auto"/>
                <w:sz w:val="24"/>
                <w:szCs w:val="24"/>
                <w:highlight w:val="none"/>
              </w:rPr>
            </w:pPr>
          </w:p>
        </w:tc>
      </w:tr>
    </w:tbl>
    <w:p w14:paraId="5E6640CA">
      <w:pPr>
        <w:pStyle w:val="21"/>
        <w:spacing w:line="600" w:lineRule="exact"/>
        <w:rPr>
          <w:rFonts w:hint="eastAsia" w:ascii="宋体" w:hAnsi="宋体" w:eastAsia="宋体" w:cs="宋体"/>
          <w:b/>
          <w:color w:val="auto"/>
          <w:sz w:val="24"/>
          <w:szCs w:val="24"/>
          <w:highlight w:val="none"/>
        </w:rPr>
      </w:pPr>
    </w:p>
    <w:p w14:paraId="39CE35AE">
      <w:pPr>
        <w:pStyle w:val="2"/>
        <w:rPr>
          <w:rFonts w:hint="eastAsia" w:ascii="宋体" w:hAnsi="宋体" w:eastAsia="宋体" w:cs="宋体"/>
          <w:color w:val="auto"/>
          <w:sz w:val="24"/>
          <w:szCs w:val="24"/>
          <w:highlight w:val="none"/>
        </w:rPr>
      </w:pPr>
    </w:p>
    <w:p w14:paraId="7825661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B97EB05">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145411A8">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B34AE11">
      <w:pPr>
        <w:rPr>
          <w:rFonts w:hint="eastAsia" w:ascii="宋体" w:hAnsi="宋体" w:eastAsia="宋体" w:cs="宋体"/>
          <w:color w:val="auto"/>
          <w:highlight w:val="none"/>
        </w:rPr>
      </w:pPr>
    </w:p>
    <w:p w14:paraId="2FCD11BF">
      <w:pPr>
        <w:rPr>
          <w:rFonts w:hint="eastAsia" w:ascii="宋体" w:hAnsi="宋体" w:eastAsia="宋体" w:cs="宋体"/>
          <w:color w:val="auto"/>
          <w:highlight w:val="none"/>
        </w:rPr>
      </w:pPr>
    </w:p>
    <w:p w14:paraId="1FB44D96">
      <w:pPr>
        <w:rPr>
          <w:rFonts w:hint="eastAsia" w:ascii="宋体" w:hAnsi="宋体" w:eastAsia="宋体" w:cs="宋体"/>
          <w:color w:val="auto"/>
          <w:highlight w:val="none"/>
        </w:rPr>
      </w:pPr>
    </w:p>
    <w:p w14:paraId="229AEE9B">
      <w:pPr>
        <w:rPr>
          <w:rFonts w:hint="eastAsia" w:ascii="宋体" w:hAnsi="宋体" w:eastAsia="宋体" w:cs="宋体"/>
          <w:color w:val="auto"/>
          <w:highlight w:val="none"/>
        </w:rPr>
      </w:pPr>
    </w:p>
    <w:p w14:paraId="6C572BF2">
      <w:pPr>
        <w:rPr>
          <w:rFonts w:hint="eastAsia" w:ascii="宋体" w:hAnsi="宋体" w:eastAsia="宋体" w:cs="宋体"/>
          <w:color w:val="auto"/>
          <w:highlight w:val="none"/>
        </w:rPr>
      </w:pPr>
    </w:p>
    <w:p w14:paraId="118C4FCA">
      <w:pPr>
        <w:rPr>
          <w:rFonts w:hint="eastAsia" w:ascii="宋体" w:hAnsi="宋体" w:eastAsia="宋体" w:cs="宋体"/>
          <w:color w:val="auto"/>
          <w:highlight w:val="none"/>
        </w:rPr>
      </w:pPr>
    </w:p>
    <w:p w14:paraId="50DCF166">
      <w:pPr>
        <w:rPr>
          <w:rFonts w:hint="eastAsia" w:ascii="宋体" w:hAnsi="宋体" w:eastAsia="宋体" w:cs="宋体"/>
          <w:color w:val="auto"/>
          <w:highlight w:val="none"/>
        </w:rPr>
      </w:pPr>
    </w:p>
    <w:p w14:paraId="49DE1918">
      <w:pPr>
        <w:jc w:val="center"/>
        <w:outlineLvl w:val="1"/>
        <w:rPr>
          <w:rFonts w:hint="eastAsia" w:ascii="宋体" w:hAnsi="宋体" w:eastAsia="宋体" w:cs="宋体"/>
          <w:color w:val="auto"/>
          <w:highlight w:val="none"/>
        </w:rPr>
      </w:pPr>
      <w:r>
        <w:rPr>
          <w:rFonts w:hint="eastAsia" w:ascii="宋体" w:hAnsi="宋体" w:eastAsia="宋体" w:cs="宋体"/>
          <w:b/>
          <w:color w:val="auto"/>
          <w:kern w:val="0"/>
          <w:sz w:val="24"/>
          <w:highlight w:val="none"/>
          <w:lang w:bidi="ar"/>
        </w:rPr>
        <w:br w:type="page"/>
      </w:r>
      <w:bookmarkStart w:id="305" w:name="_Toc31130"/>
      <w:bookmarkStart w:id="306" w:name="_Toc5650"/>
      <w:bookmarkStart w:id="307" w:name="_Toc8836"/>
      <w:bookmarkStart w:id="308" w:name="_Toc30706"/>
      <w:r>
        <w:rPr>
          <w:rStyle w:val="135"/>
          <w:rFonts w:hint="eastAsia" w:ascii="宋体" w:hAnsi="宋体" w:eastAsia="宋体" w:cs="宋体"/>
          <w:color w:val="auto"/>
          <w:highlight w:val="none"/>
        </w:rPr>
        <w:t>三、资格审查部分格式</w:t>
      </w:r>
      <w:bookmarkEnd w:id="272"/>
      <w:bookmarkEnd w:id="273"/>
      <w:bookmarkEnd w:id="274"/>
      <w:bookmarkEnd w:id="305"/>
      <w:bookmarkEnd w:id="306"/>
      <w:bookmarkEnd w:id="307"/>
      <w:bookmarkEnd w:id="308"/>
    </w:p>
    <w:p w14:paraId="4A8641B9">
      <w:pPr>
        <w:pStyle w:val="5"/>
        <w:spacing w:before="0"/>
        <w:jc w:val="center"/>
        <w:outlineLvl w:val="2"/>
        <w:rPr>
          <w:rFonts w:hint="eastAsia" w:ascii="宋体" w:hAnsi="宋体" w:eastAsia="宋体" w:cs="宋体"/>
          <w:color w:val="auto"/>
          <w:szCs w:val="28"/>
          <w:highlight w:val="none"/>
        </w:rPr>
      </w:pPr>
      <w:bookmarkStart w:id="309" w:name="_Toc8335"/>
      <w:bookmarkStart w:id="310" w:name="_Toc20546"/>
      <w:bookmarkStart w:id="311" w:name="_Toc20352"/>
      <w:bookmarkStart w:id="312" w:name="_Toc1698"/>
      <w:r>
        <w:rPr>
          <w:rFonts w:hint="eastAsia" w:ascii="宋体" w:hAnsi="宋体" w:eastAsia="宋体" w:cs="宋体"/>
          <w:color w:val="auto"/>
          <w:szCs w:val="28"/>
          <w:highlight w:val="none"/>
        </w:rPr>
        <w:t>（一）</w:t>
      </w:r>
      <w:r>
        <w:rPr>
          <w:rFonts w:hint="eastAsia" w:ascii="宋体" w:hAnsi="宋体" w:eastAsia="宋体" w:cs="宋体"/>
          <w:color w:val="auto"/>
          <w:szCs w:val="28"/>
          <w:highlight w:val="none"/>
          <w:lang w:eastAsia="zh-CN"/>
        </w:rPr>
        <w:t>投标人</w:t>
      </w:r>
      <w:r>
        <w:rPr>
          <w:rFonts w:hint="eastAsia" w:ascii="宋体" w:hAnsi="宋体" w:eastAsia="宋体" w:cs="宋体"/>
          <w:color w:val="auto"/>
          <w:szCs w:val="28"/>
          <w:highlight w:val="none"/>
        </w:rPr>
        <w:t>基本情况表</w:t>
      </w:r>
      <w:bookmarkEnd w:id="309"/>
      <w:bookmarkEnd w:id="310"/>
      <w:bookmarkEnd w:id="311"/>
      <w:bookmarkEnd w:id="312"/>
    </w:p>
    <w:bookmarkEnd w:id="267"/>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72"/>
        <w:gridCol w:w="1315"/>
        <w:gridCol w:w="1336"/>
        <w:gridCol w:w="1380"/>
        <w:gridCol w:w="288"/>
        <w:gridCol w:w="785"/>
        <w:gridCol w:w="1569"/>
      </w:tblGrid>
      <w:tr w14:paraId="7015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7C3587F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p>
        </w:tc>
        <w:tc>
          <w:tcPr>
            <w:tcW w:w="7645" w:type="dxa"/>
            <w:gridSpan w:val="7"/>
            <w:vAlign w:val="center"/>
          </w:tcPr>
          <w:p w14:paraId="5156E50D">
            <w:pPr>
              <w:jc w:val="center"/>
              <w:rPr>
                <w:rFonts w:hint="eastAsia" w:ascii="宋体" w:hAnsi="宋体" w:eastAsia="宋体" w:cs="宋体"/>
                <w:color w:val="auto"/>
                <w:sz w:val="24"/>
                <w:highlight w:val="none"/>
              </w:rPr>
            </w:pPr>
          </w:p>
        </w:tc>
      </w:tr>
      <w:tr w14:paraId="4A03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628FE6B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623" w:type="dxa"/>
            <w:gridSpan w:val="3"/>
            <w:vAlign w:val="center"/>
          </w:tcPr>
          <w:p w14:paraId="6AB428DB">
            <w:pPr>
              <w:jc w:val="center"/>
              <w:rPr>
                <w:rFonts w:hint="eastAsia" w:ascii="宋体" w:hAnsi="宋体" w:eastAsia="宋体" w:cs="宋体"/>
                <w:color w:val="auto"/>
                <w:sz w:val="24"/>
                <w:highlight w:val="none"/>
              </w:rPr>
            </w:pPr>
          </w:p>
        </w:tc>
        <w:tc>
          <w:tcPr>
            <w:tcW w:w="1380" w:type="dxa"/>
            <w:vAlign w:val="center"/>
          </w:tcPr>
          <w:p w14:paraId="7038290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642" w:type="dxa"/>
            <w:gridSpan w:val="3"/>
            <w:vAlign w:val="center"/>
          </w:tcPr>
          <w:p w14:paraId="3D3A1B22">
            <w:pPr>
              <w:jc w:val="center"/>
              <w:rPr>
                <w:rFonts w:hint="eastAsia" w:ascii="宋体" w:hAnsi="宋体" w:eastAsia="宋体" w:cs="宋体"/>
                <w:color w:val="auto"/>
                <w:sz w:val="24"/>
                <w:highlight w:val="none"/>
              </w:rPr>
            </w:pPr>
          </w:p>
        </w:tc>
      </w:tr>
      <w:tr w14:paraId="6762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restart"/>
            <w:vAlign w:val="center"/>
          </w:tcPr>
          <w:p w14:paraId="7C800C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p>
        </w:tc>
        <w:tc>
          <w:tcPr>
            <w:tcW w:w="972" w:type="dxa"/>
            <w:vAlign w:val="center"/>
          </w:tcPr>
          <w:p w14:paraId="7BBD892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p>
        </w:tc>
        <w:tc>
          <w:tcPr>
            <w:tcW w:w="2651" w:type="dxa"/>
            <w:gridSpan w:val="2"/>
            <w:vAlign w:val="center"/>
          </w:tcPr>
          <w:p w14:paraId="15848011">
            <w:pPr>
              <w:jc w:val="center"/>
              <w:rPr>
                <w:rFonts w:hint="eastAsia" w:ascii="宋体" w:hAnsi="宋体" w:eastAsia="宋体" w:cs="宋体"/>
                <w:color w:val="auto"/>
                <w:sz w:val="24"/>
                <w:highlight w:val="none"/>
              </w:rPr>
            </w:pPr>
          </w:p>
        </w:tc>
        <w:tc>
          <w:tcPr>
            <w:tcW w:w="1380" w:type="dxa"/>
            <w:vAlign w:val="center"/>
          </w:tcPr>
          <w:p w14:paraId="5804442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p>
        </w:tc>
        <w:tc>
          <w:tcPr>
            <w:tcW w:w="2642" w:type="dxa"/>
            <w:gridSpan w:val="3"/>
            <w:vAlign w:val="center"/>
          </w:tcPr>
          <w:p w14:paraId="686BEF57">
            <w:pPr>
              <w:jc w:val="center"/>
              <w:rPr>
                <w:rFonts w:hint="eastAsia" w:ascii="宋体" w:hAnsi="宋体" w:eastAsia="宋体" w:cs="宋体"/>
                <w:color w:val="auto"/>
                <w:sz w:val="24"/>
                <w:highlight w:val="none"/>
              </w:rPr>
            </w:pPr>
          </w:p>
        </w:tc>
      </w:tr>
      <w:tr w14:paraId="7D83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continue"/>
            <w:vAlign w:val="center"/>
          </w:tcPr>
          <w:p w14:paraId="2AEB7587">
            <w:pPr>
              <w:jc w:val="center"/>
              <w:rPr>
                <w:rFonts w:hint="eastAsia" w:ascii="宋体" w:hAnsi="宋体" w:eastAsia="宋体" w:cs="宋体"/>
                <w:color w:val="auto"/>
                <w:sz w:val="24"/>
                <w:highlight w:val="none"/>
              </w:rPr>
            </w:pPr>
          </w:p>
        </w:tc>
        <w:tc>
          <w:tcPr>
            <w:tcW w:w="972" w:type="dxa"/>
            <w:vAlign w:val="center"/>
          </w:tcPr>
          <w:p w14:paraId="4A4495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w:t>
            </w:r>
          </w:p>
        </w:tc>
        <w:tc>
          <w:tcPr>
            <w:tcW w:w="2651" w:type="dxa"/>
            <w:gridSpan w:val="2"/>
            <w:vAlign w:val="center"/>
          </w:tcPr>
          <w:p w14:paraId="3F2BBA17">
            <w:pPr>
              <w:jc w:val="center"/>
              <w:rPr>
                <w:rFonts w:hint="eastAsia" w:ascii="宋体" w:hAnsi="宋体" w:eastAsia="宋体" w:cs="宋体"/>
                <w:color w:val="auto"/>
                <w:sz w:val="24"/>
                <w:highlight w:val="none"/>
              </w:rPr>
            </w:pPr>
          </w:p>
        </w:tc>
        <w:tc>
          <w:tcPr>
            <w:tcW w:w="1380" w:type="dxa"/>
            <w:vAlign w:val="center"/>
          </w:tcPr>
          <w:p w14:paraId="5335808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网  址</w:t>
            </w:r>
          </w:p>
        </w:tc>
        <w:tc>
          <w:tcPr>
            <w:tcW w:w="2642" w:type="dxa"/>
            <w:gridSpan w:val="3"/>
            <w:vAlign w:val="center"/>
          </w:tcPr>
          <w:p w14:paraId="22889FFD">
            <w:pPr>
              <w:jc w:val="center"/>
              <w:rPr>
                <w:rFonts w:hint="eastAsia" w:ascii="宋体" w:hAnsi="宋体" w:eastAsia="宋体" w:cs="宋体"/>
                <w:color w:val="auto"/>
                <w:sz w:val="24"/>
                <w:highlight w:val="none"/>
              </w:rPr>
            </w:pPr>
          </w:p>
        </w:tc>
      </w:tr>
      <w:tr w14:paraId="3E8E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E2D4B7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972" w:type="dxa"/>
            <w:vAlign w:val="center"/>
          </w:tcPr>
          <w:p w14:paraId="56EDA68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0364470F">
            <w:pPr>
              <w:jc w:val="center"/>
              <w:rPr>
                <w:rFonts w:hint="eastAsia" w:ascii="宋体" w:hAnsi="宋体" w:eastAsia="宋体" w:cs="宋体"/>
                <w:color w:val="auto"/>
                <w:sz w:val="24"/>
                <w:highlight w:val="none"/>
              </w:rPr>
            </w:pPr>
          </w:p>
        </w:tc>
        <w:tc>
          <w:tcPr>
            <w:tcW w:w="1336" w:type="dxa"/>
            <w:vAlign w:val="center"/>
          </w:tcPr>
          <w:p w14:paraId="2E15BA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464CFAA6">
            <w:pPr>
              <w:jc w:val="center"/>
              <w:rPr>
                <w:rFonts w:hint="eastAsia" w:ascii="宋体" w:hAnsi="宋体" w:eastAsia="宋体" w:cs="宋体"/>
                <w:color w:val="auto"/>
                <w:sz w:val="24"/>
                <w:highlight w:val="none"/>
              </w:rPr>
            </w:pPr>
          </w:p>
        </w:tc>
        <w:tc>
          <w:tcPr>
            <w:tcW w:w="785" w:type="dxa"/>
            <w:vAlign w:val="center"/>
          </w:tcPr>
          <w:p w14:paraId="638855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5B20146A">
            <w:pPr>
              <w:jc w:val="center"/>
              <w:rPr>
                <w:rFonts w:hint="eastAsia" w:ascii="宋体" w:hAnsi="宋体" w:eastAsia="宋体" w:cs="宋体"/>
                <w:color w:val="auto"/>
                <w:sz w:val="24"/>
                <w:highlight w:val="none"/>
              </w:rPr>
            </w:pPr>
          </w:p>
        </w:tc>
      </w:tr>
      <w:tr w14:paraId="77DD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155707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972" w:type="dxa"/>
            <w:vAlign w:val="center"/>
          </w:tcPr>
          <w:p w14:paraId="5816F7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61B1DA52">
            <w:pPr>
              <w:jc w:val="center"/>
              <w:rPr>
                <w:rFonts w:hint="eastAsia" w:ascii="宋体" w:hAnsi="宋体" w:eastAsia="宋体" w:cs="宋体"/>
                <w:color w:val="auto"/>
                <w:sz w:val="24"/>
                <w:highlight w:val="none"/>
              </w:rPr>
            </w:pPr>
          </w:p>
        </w:tc>
        <w:tc>
          <w:tcPr>
            <w:tcW w:w="1336" w:type="dxa"/>
            <w:vAlign w:val="center"/>
          </w:tcPr>
          <w:p w14:paraId="124908A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3DF60F46">
            <w:pPr>
              <w:jc w:val="center"/>
              <w:rPr>
                <w:rFonts w:hint="eastAsia" w:ascii="宋体" w:hAnsi="宋体" w:eastAsia="宋体" w:cs="宋体"/>
                <w:color w:val="auto"/>
                <w:sz w:val="24"/>
                <w:highlight w:val="none"/>
              </w:rPr>
            </w:pPr>
          </w:p>
        </w:tc>
        <w:tc>
          <w:tcPr>
            <w:tcW w:w="785" w:type="dxa"/>
            <w:vAlign w:val="center"/>
          </w:tcPr>
          <w:p w14:paraId="7DD844E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7F12830F">
            <w:pPr>
              <w:jc w:val="center"/>
              <w:rPr>
                <w:rFonts w:hint="eastAsia" w:ascii="宋体" w:hAnsi="宋体" w:eastAsia="宋体" w:cs="宋体"/>
                <w:color w:val="auto"/>
                <w:sz w:val="24"/>
                <w:highlight w:val="none"/>
              </w:rPr>
            </w:pPr>
          </w:p>
        </w:tc>
      </w:tr>
      <w:tr w14:paraId="6F03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1E65F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技术负责人</w:t>
            </w:r>
          </w:p>
        </w:tc>
        <w:tc>
          <w:tcPr>
            <w:tcW w:w="972" w:type="dxa"/>
            <w:vAlign w:val="center"/>
          </w:tcPr>
          <w:p w14:paraId="01B72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4B271CD8">
            <w:pPr>
              <w:jc w:val="center"/>
              <w:rPr>
                <w:rFonts w:hint="eastAsia" w:ascii="宋体" w:hAnsi="宋体" w:eastAsia="宋体" w:cs="宋体"/>
                <w:color w:val="auto"/>
                <w:sz w:val="24"/>
                <w:highlight w:val="none"/>
              </w:rPr>
            </w:pPr>
          </w:p>
        </w:tc>
        <w:tc>
          <w:tcPr>
            <w:tcW w:w="1336" w:type="dxa"/>
            <w:vAlign w:val="center"/>
          </w:tcPr>
          <w:p w14:paraId="07E10D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26CE5A9C">
            <w:pPr>
              <w:jc w:val="center"/>
              <w:rPr>
                <w:rFonts w:hint="eastAsia" w:ascii="宋体" w:hAnsi="宋体" w:eastAsia="宋体" w:cs="宋体"/>
                <w:color w:val="auto"/>
                <w:sz w:val="24"/>
                <w:highlight w:val="none"/>
              </w:rPr>
            </w:pPr>
          </w:p>
        </w:tc>
        <w:tc>
          <w:tcPr>
            <w:tcW w:w="785" w:type="dxa"/>
            <w:vAlign w:val="center"/>
          </w:tcPr>
          <w:p w14:paraId="10DEB03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3D1151EE">
            <w:pPr>
              <w:jc w:val="center"/>
              <w:rPr>
                <w:rFonts w:hint="eastAsia" w:ascii="宋体" w:hAnsi="宋体" w:eastAsia="宋体" w:cs="宋体"/>
                <w:color w:val="auto"/>
                <w:sz w:val="24"/>
                <w:highlight w:val="none"/>
              </w:rPr>
            </w:pPr>
          </w:p>
        </w:tc>
      </w:tr>
      <w:tr w14:paraId="08BD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2AA6D29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2287" w:type="dxa"/>
            <w:gridSpan w:val="2"/>
            <w:vAlign w:val="center"/>
          </w:tcPr>
          <w:p w14:paraId="0903C7BE">
            <w:pPr>
              <w:jc w:val="center"/>
              <w:rPr>
                <w:rFonts w:hint="eastAsia" w:ascii="宋体" w:hAnsi="宋体" w:eastAsia="宋体" w:cs="宋体"/>
                <w:color w:val="auto"/>
                <w:sz w:val="24"/>
                <w:highlight w:val="none"/>
              </w:rPr>
            </w:pPr>
          </w:p>
        </w:tc>
        <w:tc>
          <w:tcPr>
            <w:tcW w:w="5358" w:type="dxa"/>
            <w:gridSpan w:val="5"/>
            <w:vAlign w:val="center"/>
          </w:tcPr>
          <w:p w14:paraId="65BEEE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r>
      <w:tr w14:paraId="1203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776" w:type="dxa"/>
            <w:vAlign w:val="center"/>
          </w:tcPr>
          <w:p w14:paraId="7358C0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企业资质等级</w:t>
            </w:r>
          </w:p>
        </w:tc>
        <w:tc>
          <w:tcPr>
            <w:tcW w:w="7645" w:type="dxa"/>
            <w:gridSpan w:val="7"/>
            <w:vAlign w:val="center"/>
          </w:tcPr>
          <w:p w14:paraId="2253C1C5">
            <w:pPr>
              <w:jc w:val="center"/>
              <w:rPr>
                <w:rFonts w:hint="eastAsia" w:ascii="宋体" w:hAnsi="宋体" w:eastAsia="宋体" w:cs="宋体"/>
                <w:color w:val="auto"/>
                <w:sz w:val="24"/>
                <w:highlight w:val="none"/>
              </w:rPr>
            </w:pPr>
          </w:p>
        </w:tc>
      </w:tr>
      <w:tr w14:paraId="0757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48731D7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营业执照号</w:t>
            </w:r>
          </w:p>
        </w:tc>
        <w:tc>
          <w:tcPr>
            <w:tcW w:w="7645" w:type="dxa"/>
            <w:gridSpan w:val="7"/>
            <w:vAlign w:val="center"/>
          </w:tcPr>
          <w:p w14:paraId="15FF8E1F">
            <w:pPr>
              <w:jc w:val="center"/>
              <w:rPr>
                <w:rFonts w:hint="eastAsia" w:ascii="宋体" w:hAnsi="宋体" w:eastAsia="宋体" w:cs="宋体"/>
                <w:color w:val="auto"/>
                <w:sz w:val="24"/>
                <w:highlight w:val="none"/>
              </w:rPr>
            </w:pPr>
          </w:p>
        </w:tc>
      </w:tr>
      <w:tr w14:paraId="570C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D71C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7645" w:type="dxa"/>
            <w:gridSpan w:val="7"/>
            <w:vAlign w:val="center"/>
          </w:tcPr>
          <w:p w14:paraId="0AEBF8E7">
            <w:pPr>
              <w:jc w:val="center"/>
              <w:rPr>
                <w:rFonts w:hint="eastAsia" w:ascii="宋体" w:hAnsi="宋体" w:eastAsia="宋体" w:cs="宋体"/>
                <w:color w:val="auto"/>
                <w:sz w:val="24"/>
                <w:highlight w:val="none"/>
              </w:rPr>
            </w:pPr>
          </w:p>
        </w:tc>
      </w:tr>
      <w:tr w14:paraId="7CA0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335ED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7645" w:type="dxa"/>
            <w:gridSpan w:val="7"/>
            <w:vAlign w:val="center"/>
          </w:tcPr>
          <w:p w14:paraId="35EFDA95">
            <w:pPr>
              <w:jc w:val="center"/>
              <w:rPr>
                <w:rFonts w:hint="eastAsia" w:ascii="宋体" w:hAnsi="宋体" w:eastAsia="宋体" w:cs="宋体"/>
                <w:color w:val="auto"/>
                <w:sz w:val="24"/>
                <w:highlight w:val="none"/>
              </w:rPr>
            </w:pPr>
          </w:p>
        </w:tc>
      </w:tr>
      <w:tr w14:paraId="64B8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F5FC2A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7645" w:type="dxa"/>
            <w:gridSpan w:val="7"/>
            <w:vAlign w:val="center"/>
          </w:tcPr>
          <w:p w14:paraId="64E2A46F">
            <w:pPr>
              <w:jc w:val="center"/>
              <w:rPr>
                <w:rFonts w:hint="eastAsia" w:ascii="宋体" w:hAnsi="宋体" w:eastAsia="宋体" w:cs="宋体"/>
                <w:color w:val="auto"/>
                <w:sz w:val="24"/>
                <w:highlight w:val="none"/>
              </w:rPr>
            </w:pPr>
          </w:p>
        </w:tc>
      </w:tr>
      <w:tr w14:paraId="68C8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jc w:val="center"/>
        </w:trPr>
        <w:tc>
          <w:tcPr>
            <w:tcW w:w="1776" w:type="dxa"/>
            <w:vAlign w:val="center"/>
          </w:tcPr>
          <w:p w14:paraId="1D21807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经营范围</w:t>
            </w:r>
          </w:p>
        </w:tc>
        <w:tc>
          <w:tcPr>
            <w:tcW w:w="7645" w:type="dxa"/>
            <w:gridSpan w:val="7"/>
            <w:vAlign w:val="center"/>
          </w:tcPr>
          <w:p w14:paraId="250ADC49">
            <w:pPr>
              <w:jc w:val="center"/>
              <w:rPr>
                <w:rFonts w:hint="eastAsia" w:ascii="宋体" w:hAnsi="宋体" w:eastAsia="宋体" w:cs="宋体"/>
                <w:color w:val="auto"/>
                <w:sz w:val="24"/>
                <w:highlight w:val="none"/>
              </w:rPr>
            </w:pPr>
          </w:p>
        </w:tc>
      </w:tr>
      <w:tr w14:paraId="4C16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76" w:type="dxa"/>
            <w:vAlign w:val="center"/>
          </w:tcPr>
          <w:p w14:paraId="04B53E3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645" w:type="dxa"/>
            <w:gridSpan w:val="7"/>
            <w:vAlign w:val="center"/>
          </w:tcPr>
          <w:p w14:paraId="3AC51442">
            <w:pPr>
              <w:jc w:val="center"/>
              <w:rPr>
                <w:rFonts w:hint="eastAsia" w:ascii="宋体" w:hAnsi="宋体" w:eastAsia="宋体" w:cs="宋体"/>
                <w:color w:val="auto"/>
                <w:sz w:val="24"/>
                <w:highlight w:val="none"/>
              </w:rPr>
            </w:pPr>
          </w:p>
        </w:tc>
      </w:tr>
    </w:tbl>
    <w:p w14:paraId="0BB9F13A">
      <w:pPr>
        <w:spacing w:line="360" w:lineRule="auto"/>
        <w:jc w:val="center"/>
        <w:outlineLvl w:val="2"/>
        <w:rPr>
          <w:rFonts w:hint="eastAsia" w:ascii="宋体" w:hAnsi="宋体" w:eastAsia="宋体" w:cs="宋体"/>
          <w:b/>
          <w:bCs/>
          <w:color w:val="auto"/>
          <w:sz w:val="32"/>
          <w:szCs w:val="32"/>
          <w:highlight w:val="none"/>
        </w:rPr>
      </w:pPr>
      <w:r>
        <w:rPr>
          <w:rFonts w:hint="eastAsia" w:ascii="宋体" w:hAnsi="宋体" w:eastAsia="宋体" w:cs="宋体"/>
          <w:color w:val="auto"/>
          <w:szCs w:val="28"/>
          <w:highlight w:val="none"/>
        </w:rPr>
        <w:br w:type="page"/>
      </w:r>
      <w:bookmarkStart w:id="313" w:name="_Toc7995"/>
      <w:bookmarkStart w:id="314" w:name="_Toc8605"/>
      <w:bookmarkStart w:id="315" w:name="_Toc28408"/>
      <w:bookmarkStart w:id="316" w:name="_Toc17640"/>
      <w:bookmarkStart w:id="317" w:name="_Toc20317"/>
      <w:bookmarkStart w:id="318" w:name="_Toc15566"/>
      <w:bookmarkStart w:id="319" w:name="_Toc5271"/>
      <w:r>
        <w:rPr>
          <w:rStyle w:val="135"/>
          <w:rFonts w:hint="eastAsia" w:ascii="宋体" w:hAnsi="宋体" w:eastAsia="宋体" w:cs="宋体"/>
          <w:color w:val="auto"/>
          <w:sz w:val="28"/>
          <w:szCs w:val="28"/>
          <w:highlight w:val="none"/>
        </w:rPr>
        <w:t>（二）投标人的资格要求</w:t>
      </w:r>
      <w:bookmarkEnd w:id="313"/>
      <w:bookmarkEnd w:id="314"/>
      <w:bookmarkEnd w:id="315"/>
      <w:bookmarkEnd w:id="316"/>
      <w:bookmarkEnd w:id="317"/>
      <w:bookmarkEnd w:id="318"/>
    </w:p>
    <w:p w14:paraId="229824FE">
      <w:pPr>
        <w:spacing w:line="360" w:lineRule="auto"/>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（此章节格式自拟）</w:t>
      </w:r>
      <w:bookmarkEnd w:id="319"/>
    </w:p>
    <w:p w14:paraId="2675CE2C">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1.满足《中华人民共和国政府采购法》第二十二条规定，提供下列资料：</w:t>
      </w:r>
    </w:p>
    <w:p w14:paraId="4EF8A3D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371C953D">
      <w:pPr>
        <w:spacing w:line="360" w:lineRule="auto"/>
        <w:rPr>
          <w:rFonts w:hint="eastAsia" w:ascii="宋体" w:hAnsi="宋体" w:eastAsia="宋体" w:cs="宋体"/>
          <w:color w:val="auto"/>
          <w:kern w:val="0"/>
          <w:sz w:val="24"/>
          <w:highlight w:val="none"/>
        </w:rPr>
      </w:pPr>
    </w:p>
    <w:p w14:paraId="379D1E8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5B4456F3">
      <w:pPr>
        <w:spacing w:line="360" w:lineRule="auto"/>
        <w:rPr>
          <w:rFonts w:hint="eastAsia" w:ascii="宋体" w:hAnsi="宋体" w:eastAsia="宋体" w:cs="宋体"/>
          <w:color w:val="auto"/>
          <w:kern w:val="0"/>
          <w:sz w:val="24"/>
          <w:highlight w:val="none"/>
        </w:rPr>
      </w:pPr>
    </w:p>
    <w:p w14:paraId="0254EB9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eastAsia="宋体" w:cs="宋体"/>
          <w:color w:val="auto"/>
          <w:sz w:val="24"/>
          <w:szCs w:val="21"/>
          <w:highlight w:val="none"/>
        </w:rPr>
        <w:t>具有履行合同所必需的设备和专业技术能力（提供相关证明材料或承诺）；</w:t>
      </w:r>
    </w:p>
    <w:p w14:paraId="7331BD89">
      <w:pPr>
        <w:spacing w:line="360" w:lineRule="auto"/>
        <w:rPr>
          <w:rFonts w:hint="eastAsia" w:ascii="宋体" w:hAnsi="宋体" w:eastAsia="宋体" w:cs="宋体"/>
          <w:color w:val="auto"/>
          <w:kern w:val="0"/>
          <w:sz w:val="24"/>
          <w:highlight w:val="none"/>
        </w:rPr>
      </w:pPr>
    </w:p>
    <w:p w14:paraId="72548672">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5E1463A0">
      <w:pPr>
        <w:spacing w:line="360" w:lineRule="auto"/>
        <w:rPr>
          <w:rFonts w:hint="eastAsia" w:ascii="宋体" w:hAnsi="宋体" w:eastAsia="宋体" w:cs="宋体"/>
          <w:color w:val="auto"/>
          <w:kern w:val="0"/>
          <w:sz w:val="24"/>
          <w:highlight w:val="none"/>
        </w:rPr>
      </w:pPr>
    </w:p>
    <w:p w14:paraId="4AB22D1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1.5</w:t>
      </w:r>
      <w:r>
        <w:rPr>
          <w:rFonts w:hint="eastAsia" w:ascii="宋体" w:hAnsi="宋体" w:eastAsia="宋体" w:cs="宋体"/>
          <w:color w:val="auto"/>
          <w:sz w:val="24"/>
          <w:szCs w:val="21"/>
          <w:highlight w:val="none"/>
        </w:rPr>
        <w:t>参加政府采购活动前三年内，在经营活动中没有重大违法记录（提供书面声明）；</w:t>
      </w:r>
    </w:p>
    <w:p w14:paraId="07716F65">
      <w:pPr>
        <w:spacing w:line="360" w:lineRule="auto"/>
        <w:rPr>
          <w:rFonts w:hint="eastAsia" w:ascii="宋体" w:hAnsi="宋体" w:eastAsia="宋体" w:cs="宋体"/>
          <w:color w:val="auto"/>
          <w:kern w:val="0"/>
          <w:sz w:val="24"/>
          <w:highlight w:val="none"/>
        </w:rPr>
      </w:pPr>
    </w:p>
    <w:p w14:paraId="7ACE554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1.6法律、行政法规规定的其他条件。</w:t>
      </w:r>
    </w:p>
    <w:p w14:paraId="74299A5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1961939C">
      <w:pPr>
        <w:adjustRightInd w:val="0"/>
        <w:snapToGrid w:val="0"/>
        <w:spacing w:line="360" w:lineRule="auto"/>
        <w:rPr>
          <w:rFonts w:hint="eastAsia" w:ascii="宋体" w:hAnsi="宋体" w:eastAsia="宋体" w:cs="宋体"/>
          <w:color w:val="auto"/>
          <w:kern w:val="0"/>
          <w:sz w:val="24"/>
          <w:highlight w:val="none"/>
        </w:rPr>
      </w:pPr>
    </w:p>
    <w:p w14:paraId="4674A521">
      <w:pPr>
        <w:adjustRightInd w:val="0"/>
        <w:snapToGrid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2F75F2DD">
      <w:pPr>
        <w:spacing w:line="360" w:lineRule="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2.落实政府采购政策需满足的资格要求：</w:t>
      </w:r>
    </w:p>
    <w:p w14:paraId="3FAF768B">
      <w:pPr>
        <w:pStyle w:val="52"/>
        <w:spacing w:line="360" w:lineRule="auto"/>
        <w:ind w:firstLine="480" w:firstLineChars="200"/>
        <w:rPr>
          <w:rFonts w:hint="eastAsia" w:ascii="宋体" w:hAnsi="宋体" w:eastAsia="宋体" w:cs="宋体"/>
          <w:color w:val="auto"/>
          <w:highlight w:val="none"/>
        </w:rPr>
      </w:pPr>
      <w:r>
        <w:rPr>
          <w:rFonts w:hint="eastAsia" w:hAnsi="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工业</w:t>
      </w:r>
      <w:r>
        <w:rPr>
          <w:rFonts w:hint="eastAsia" w:ascii="宋体" w:hAnsi="宋体" w:eastAsia="宋体" w:cs="宋体"/>
          <w:color w:val="auto"/>
          <w:sz w:val="24"/>
          <w:highlight w:val="none"/>
          <w:lang w:val="en-US" w:eastAsia="zh-CN"/>
        </w:rPr>
        <w:t>。</w:t>
      </w:r>
      <w:r>
        <w:rPr>
          <w:rFonts w:hint="eastAsia" w:ascii="宋体" w:hAnsi="宋体" w:eastAsia="宋体" w:cs="宋体"/>
          <w:color w:val="auto"/>
          <w:highlight w:val="none"/>
        </w:rPr>
        <w:t>（此章节按附件格式1、格式2、格式3填写）</w:t>
      </w:r>
    </w:p>
    <w:p w14:paraId="6A014E7D">
      <w:pPr>
        <w:pStyle w:val="52"/>
        <w:outlineLvl w:val="9"/>
        <w:rPr>
          <w:rFonts w:hint="eastAsia" w:ascii="宋体" w:hAnsi="宋体" w:eastAsia="宋体" w:cs="宋体"/>
          <w:color w:val="auto"/>
          <w:highlight w:val="none"/>
        </w:rPr>
      </w:pPr>
    </w:p>
    <w:p w14:paraId="6DB571E3">
      <w:pPr>
        <w:spacing w:line="480" w:lineRule="exact"/>
        <w:rPr>
          <w:rFonts w:hint="eastAsia" w:ascii="宋体" w:hAnsi="宋体" w:eastAsia="宋体" w:cs="宋体"/>
          <w:color w:val="auto"/>
          <w:sz w:val="24"/>
          <w:szCs w:val="21"/>
          <w:highlight w:val="none"/>
        </w:rPr>
      </w:pPr>
    </w:p>
    <w:p w14:paraId="1DBDADDC">
      <w:pPr>
        <w:spacing w:line="480" w:lineRule="exact"/>
        <w:rPr>
          <w:rFonts w:hint="eastAsia" w:ascii="宋体" w:hAnsi="宋体" w:eastAsia="宋体" w:cs="宋体"/>
          <w:color w:val="auto"/>
          <w:sz w:val="24"/>
          <w:szCs w:val="21"/>
          <w:highlight w:val="none"/>
        </w:rPr>
      </w:pPr>
    </w:p>
    <w:p w14:paraId="6D847D79">
      <w:pPr>
        <w:spacing w:line="480" w:lineRule="exact"/>
        <w:rPr>
          <w:rFonts w:hint="eastAsia" w:ascii="宋体" w:hAnsi="宋体" w:eastAsia="宋体" w:cs="宋体"/>
          <w:b/>
          <w:bCs/>
          <w:color w:val="auto"/>
          <w:sz w:val="24"/>
          <w:szCs w:val="21"/>
          <w:highlight w:val="none"/>
        </w:rPr>
      </w:pPr>
    </w:p>
    <w:p w14:paraId="3F936F0A">
      <w:pPr>
        <w:spacing w:line="480" w:lineRule="exact"/>
        <w:rPr>
          <w:rFonts w:hint="eastAsia" w:ascii="宋体" w:hAnsi="宋体" w:eastAsia="宋体" w:cs="宋体"/>
          <w:b/>
          <w:bCs/>
          <w:color w:val="auto"/>
          <w:sz w:val="24"/>
          <w:szCs w:val="21"/>
          <w:highlight w:val="none"/>
        </w:rPr>
      </w:pPr>
    </w:p>
    <w:p w14:paraId="5FB400E6">
      <w:pPr>
        <w:rPr>
          <w:rFonts w:hint="eastAsia" w:ascii="宋体" w:hAnsi="宋体" w:eastAsia="宋体" w:cs="宋体"/>
          <w:color w:val="auto"/>
          <w:sz w:val="24"/>
          <w:highlight w:val="none"/>
        </w:rPr>
      </w:pPr>
    </w:p>
    <w:p w14:paraId="48D2FC00">
      <w:pPr>
        <w:spacing w:line="360" w:lineRule="auto"/>
        <w:rPr>
          <w:rStyle w:val="63"/>
          <w:rFonts w:hint="eastAsia" w:ascii="宋体" w:hAnsi="宋体" w:eastAsia="宋体" w:cs="宋体"/>
          <w:bCs/>
          <w:color w:val="auto"/>
          <w:szCs w:val="28"/>
          <w:highlight w:val="none"/>
        </w:rPr>
      </w:pPr>
      <w:bookmarkStart w:id="320" w:name="_Toc22701"/>
      <w:bookmarkStart w:id="321" w:name="_Toc8168214"/>
      <w:bookmarkStart w:id="322" w:name="_Toc89692655"/>
      <w:bookmarkStart w:id="323" w:name="_Toc80095558"/>
      <w:bookmarkStart w:id="324" w:name="_Toc89692946"/>
      <w:r>
        <w:rPr>
          <w:rFonts w:hint="eastAsia" w:ascii="宋体" w:hAnsi="宋体" w:eastAsia="宋体" w:cs="宋体"/>
          <w:b/>
          <w:bCs/>
          <w:color w:val="auto"/>
          <w:sz w:val="24"/>
          <w:szCs w:val="21"/>
          <w:highlight w:val="none"/>
        </w:rPr>
        <w:br w:type="page"/>
      </w:r>
      <w:bookmarkEnd w:id="320"/>
      <w:bookmarkEnd w:id="321"/>
      <w:bookmarkEnd w:id="322"/>
      <w:bookmarkEnd w:id="323"/>
      <w:bookmarkEnd w:id="324"/>
      <w:bookmarkStart w:id="325" w:name="_Toc31866"/>
      <w:bookmarkStart w:id="326" w:name="_Toc2364"/>
      <w:bookmarkStart w:id="327" w:name="_Toc29539"/>
      <w:r>
        <w:rPr>
          <w:rStyle w:val="63"/>
          <w:rFonts w:hint="eastAsia" w:ascii="宋体" w:hAnsi="宋体" w:eastAsia="宋体" w:cs="宋体"/>
          <w:bCs/>
          <w:color w:val="auto"/>
          <w:szCs w:val="28"/>
          <w:highlight w:val="none"/>
        </w:rPr>
        <w:t>附件</w:t>
      </w:r>
    </w:p>
    <w:bookmarkEnd w:id="325"/>
    <w:bookmarkEnd w:id="326"/>
    <w:bookmarkEnd w:id="327"/>
    <w:p w14:paraId="6A80F599">
      <w:pPr>
        <w:rPr>
          <w:rFonts w:hint="eastAsia" w:ascii="宋体" w:hAnsi="宋体" w:eastAsia="宋体" w:cs="宋体"/>
          <w:color w:val="auto"/>
          <w:sz w:val="24"/>
          <w:highlight w:val="none"/>
        </w:rPr>
      </w:pPr>
      <w:bookmarkStart w:id="328" w:name="_Toc6403"/>
      <w:bookmarkStart w:id="329" w:name="_Toc3320"/>
      <w:r>
        <w:rPr>
          <w:rFonts w:hint="eastAsia" w:ascii="宋体" w:hAnsi="宋体" w:eastAsia="宋体" w:cs="宋体"/>
          <w:b/>
          <w:bCs/>
          <w:color w:val="auto"/>
          <w:sz w:val="24"/>
          <w:highlight w:val="none"/>
        </w:rPr>
        <w:t>格式1：</w:t>
      </w:r>
      <w:bookmarkEnd w:id="328"/>
      <w:bookmarkEnd w:id="329"/>
    </w:p>
    <w:p w14:paraId="22897EA2">
      <w:pPr>
        <w:pStyle w:val="2"/>
        <w:spacing w:line="360" w:lineRule="auto"/>
        <w:jc w:val="center"/>
        <w:rPr>
          <w:rFonts w:hint="eastAsia" w:ascii="宋体" w:hAnsi="宋体" w:eastAsia="宋体" w:cs="宋体"/>
          <w:bCs/>
          <w:color w:val="auto"/>
          <w:sz w:val="24"/>
          <w:highlight w:val="none"/>
        </w:rPr>
      </w:pPr>
      <w:bookmarkStart w:id="330" w:name="_Toc10365"/>
      <w:bookmarkStart w:id="331" w:name="_Toc6065"/>
      <w:bookmarkStart w:id="332" w:name="_Toc32356"/>
      <w:bookmarkStart w:id="333" w:name="_Toc12777"/>
      <w:r>
        <w:rPr>
          <w:rFonts w:hint="eastAsia" w:ascii="宋体" w:hAnsi="宋体" w:eastAsia="宋体" w:cs="宋体"/>
          <w:bCs/>
          <w:color w:val="auto"/>
          <w:sz w:val="24"/>
          <w:highlight w:val="none"/>
        </w:rPr>
        <w:t>中小企业声明函</w:t>
      </w:r>
      <w:bookmarkEnd w:id="330"/>
      <w:bookmarkEnd w:id="331"/>
      <w:bookmarkEnd w:id="332"/>
      <w:bookmarkEnd w:id="333"/>
      <w:r>
        <w:rPr>
          <w:rFonts w:hint="eastAsia" w:ascii="宋体" w:hAnsi="宋体" w:eastAsia="宋体" w:cs="宋体"/>
          <w:bCs/>
          <w:color w:val="auto"/>
          <w:sz w:val="24"/>
          <w:highlight w:val="none"/>
        </w:rPr>
        <w:t>（货物）</w:t>
      </w:r>
    </w:p>
    <w:p w14:paraId="02105E14">
      <w:pPr>
        <w:autoSpaceDE w:val="0"/>
        <w:autoSpaceDN w:val="0"/>
        <w:adjustRightInd w:val="0"/>
        <w:spacing w:line="360" w:lineRule="auto"/>
        <w:ind w:firstLine="720" w:firstLineChars="3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u w:val="single"/>
        </w:rPr>
        <w:t xml:space="preserve">本公司 </w:t>
      </w:r>
      <w:r>
        <w:rPr>
          <w:rFonts w:hint="eastAsia" w:ascii="宋体" w:hAnsi="宋体" w:eastAsia="宋体" w:cs="宋体"/>
          <w:color w:val="auto"/>
          <w:kern w:val="0"/>
          <w:sz w:val="24"/>
          <w:highlight w:val="none"/>
        </w:rPr>
        <w:t>郑重声明，根据《政府采购促进中小企业发展管理办法》（财库﹝2020﹞46号）的规定，</w:t>
      </w:r>
      <w:r>
        <w:rPr>
          <w:rFonts w:hint="eastAsia" w:ascii="宋体" w:hAnsi="宋体" w:eastAsia="宋体" w:cs="宋体"/>
          <w:color w:val="auto"/>
          <w:kern w:val="0"/>
          <w:sz w:val="24"/>
          <w:highlight w:val="none"/>
          <w:u w:val="single"/>
        </w:rPr>
        <w:t xml:space="preserve">本公司 </w:t>
      </w:r>
      <w:r>
        <w:rPr>
          <w:rFonts w:hint="eastAsia" w:ascii="宋体" w:hAnsi="宋体" w:eastAsia="宋体" w:cs="宋体"/>
          <w:color w:val="auto"/>
          <w:kern w:val="0"/>
          <w:sz w:val="24"/>
          <w:highlight w:val="none"/>
        </w:rPr>
        <w:t>参加</w:t>
      </w:r>
      <w:r>
        <w:rPr>
          <w:rFonts w:hint="eastAsia" w:ascii="宋体" w:hAnsi="宋体" w:eastAsia="宋体" w:cs="宋体"/>
          <w:color w:val="auto"/>
          <w:kern w:val="0"/>
          <w:sz w:val="24"/>
          <w:highlight w:val="none"/>
          <w:u w:val="single"/>
        </w:rPr>
        <w:t>（单位名称）</w:t>
      </w:r>
      <w:r>
        <w:rPr>
          <w:rFonts w:hint="eastAsia" w:ascii="宋体" w:hAnsi="宋体" w:eastAsia="宋体" w:cs="宋体"/>
          <w:color w:val="auto"/>
          <w:kern w:val="0"/>
          <w:sz w:val="24"/>
          <w:highlight w:val="none"/>
        </w:rPr>
        <w:t>的</w:t>
      </w:r>
      <w:r>
        <w:rPr>
          <w:rFonts w:hint="eastAsia" w:ascii="宋体" w:hAnsi="宋体" w:eastAsia="宋体" w:cs="宋体"/>
          <w:color w:val="auto"/>
          <w:kern w:val="0"/>
          <w:sz w:val="24"/>
          <w:highlight w:val="none"/>
          <w:u w:val="single"/>
        </w:rPr>
        <w:t>（项目名称）</w:t>
      </w:r>
      <w:r>
        <w:rPr>
          <w:rFonts w:hint="eastAsia" w:ascii="宋体" w:hAnsi="宋体" w:eastAsia="宋体" w:cs="宋体"/>
          <w:color w:val="auto"/>
          <w:kern w:val="0"/>
          <w:sz w:val="24"/>
          <w:highlight w:val="none"/>
        </w:rPr>
        <w:t>采购活动，提供的货物全部由符合政策要求的中小企业制造。相关企业（含联合体中的中小企业、签订分包意向协议的中小企业）的具体情况如下：</w:t>
      </w:r>
    </w:p>
    <w:p w14:paraId="171A2A92">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（招标文件中明确的所属行业）</w:t>
      </w:r>
      <w:r>
        <w:rPr>
          <w:rFonts w:hint="eastAsia" w:ascii="宋体" w:hAnsi="宋体" w:eastAsia="宋体" w:cs="宋体"/>
          <w:color w:val="auto"/>
          <w:kern w:val="0"/>
          <w:sz w:val="24"/>
          <w:highlight w:val="none"/>
        </w:rPr>
        <w:t>行业；制造商为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57A478F5">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（招标文件中明确的所属行业）</w:t>
      </w:r>
      <w:r>
        <w:rPr>
          <w:rFonts w:hint="eastAsia" w:ascii="宋体" w:hAnsi="宋体" w:eastAsia="宋体" w:cs="宋体"/>
          <w:color w:val="auto"/>
          <w:kern w:val="0"/>
          <w:sz w:val="24"/>
          <w:highlight w:val="none"/>
        </w:rPr>
        <w:t>行业；制造商为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19FB6619">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w:t>
      </w:r>
    </w:p>
    <w:p w14:paraId="53101EA5">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以上企业，不属于大企业的分支机构，不存在控股股东为大企业的情形，也不存在与大企业的负责人为同一人的情形。</w:t>
      </w:r>
    </w:p>
    <w:p w14:paraId="5092F3E1">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本企业对上述声明内容的真实性负责。如有虚假，将依法承担相应责任。 </w:t>
      </w:r>
    </w:p>
    <w:p w14:paraId="74380FE0">
      <w:pPr>
        <w:spacing w:line="360" w:lineRule="auto"/>
        <w:ind w:firstLine="480" w:firstLineChars="200"/>
        <w:rPr>
          <w:rFonts w:hint="eastAsia" w:ascii="宋体" w:hAnsi="宋体" w:eastAsia="宋体" w:cs="宋体"/>
          <w:color w:val="auto"/>
          <w:sz w:val="24"/>
          <w:highlight w:val="none"/>
        </w:rPr>
      </w:pPr>
    </w:p>
    <w:p w14:paraId="70AA87B0">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5C7AA62F">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C92AE0B">
      <w:pPr>
        <w:spacing w:line="360" w:lineRule="auto"/>
        <w:ind w:firstLine="420" w:firstLineChars="200"/>
        <w:rPr>
          <w:rFonts w:hint="eastAsia" w:ascii="宋体" w:hAnsi="宋体" w:eastAsia="宋体" w:cs="宋体"/>
          <w:color w:val="auto"/>
          <w:szCs w:val="21"/>
          <w:highlight w:val="none"/>
        </w:rPr>
      </w:pPr>
    </w:p>
    <w:p w14:paraId="36C68FC4">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注：</w:t>
      </w:r>
      <w:r>
        <w:rPr>
          <w:rFonts w:hint="eastAsia" w:ascii="宋体" w:hAnsi="宋体" w:eastAsia="宋体" w:cs="宋体"/>
          <w:b/>
          <w:bCs/>
          <w:color w:val="auto"/>
          <w:szCs w:val="21"/>
          <w:highlight w:val="none"/>
        </w:rPr>
        <w:t>1、货物承接企业全部为小微型企业时，投标人应当出具《中小企业声明函》，否则不得享</w:t>
      </w:r>
    </w:p>
    <w:p w14:paraId="5560D7B8">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受相关小微企业扶持政策(详见招标文件第二章第10条)。</w:t>
      </w:r>
    </w:p>
    <w:p w14:paraId="098B007A">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2、从业人员、营业收入、资产总额填报上一年度数据，无上一年度数据的新成立企业可不填</w:t>
      </w:r>
    </w:p>
    <w:p w14:paraId="2D027445">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报。</w:t>
      </w:r>
    </w:p>
    <w:p w14:paraId="7318E120">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3、中标人享受小微企业扶持政策的，其《中小企业声明函》将随中标结果公开。</w:t>
      </w:r>
    </w:p>
    <w:p w14:paraId="2738A081">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4、投标人提供的声明函内容不实，属于提供虚假材料谋职中标的，依照《中华人民共和国政府采购法》等国家有关规定追究相应责任。</w:t>
      </w:r>
    </w:p>
    <w:p w14:paraId="70F6CD53">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5、中小企业划型标准详见工信部联企业(2011)300号“关于印发中小企业划型标准规定的通知”中的《中小企业划型标准规定》;“采购文件中明确的所属行业”详见《投标人须知前附表》。</w:t>
      </w:r>
    </w:p>
    <w:p w14:paraId="0AA197B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4509EE69">
      <w:pPr>
        <w:widowControl/>
        <w:spacing w:before="159" w:beforeLines="50" w:line="480" w:lineRule="auto"/>
        <w:rPr>
          <w:rFonts w:hint="eastAsia" w:ascii="宋体" w:hAnsi="宋体" w:eastAsia="宋体" w:cs="宋体"/>
          <w:color w:val="auto"/>
          <w:sz w:val="24"/>
          <w:highlight w:val="none"/>
        </w:rPr>
      </w:pPr>
      <w:bookmarkStart w:id="334" w:name="_Toc8819"/>
      <w:bookmarkStart w:id="335" w:name="_Toc617"/>
      <w:r>
        <w:rPr>
          <w:rFonts w:hint="eastAsia" w:ascii="宋体" w:hAnsi="宋体" w:eastAsia="宋体" w:cs="宋体"/>
          <w:b/>
          <w:bCs/>
          <w:color w:val="auto"/>
          <w:sz w:val="24"/>
          <w:highlight w:val="none"/>
        </w:rPr>
        <w:t>格式2：</w:t>
      </w:r>
      <w:bookmarkEnd w:id="334"/>
      <w:bookmarkEnd w:id="335"/>
    </w:p>
    <w:p w14:paraId="0CE4B008">
      <w:pPr>
        <w:widowControl/>
        <w:spacing w:line="588" w:lineRule="exact"/>
        <w:jc w:val="center"/>
        <w:rPr>
          <w:rFonts w:hint="eastAsia" w:ascii="宋体" w:hAnsi="宋体" w:eastAsia="宋体" w:cs="宋体"/>
          <w:b/>
          <w:color w:val="auto"/>
          <w:spacing w:val="6"/>
          <w:sz w:val="24"/>
          <w:highlight w:val="none"/>
        </w:rPr>
      </w:pPr>
      <w:bookmarkStart w:id="336" w:name="_Toc19693"/>
      <w:bookmarkStart w:id="337" w:name="_Toc11684"/>
      <w:bookmarkStart w:id="338" w:name="_Toc28206"/>
      <w:r>
        <w:rPr>
          <w:rFonts w:hint="eastAsia" w:ascii="宋体" w:hAnsi="宋体" w:eastAsia="宋体" w:cs="宋体"/>
          <w:b/>
          <w:color w:val="auto"/>
          <w:spacing w:val="6"/>
          <w:sz w:val="24"/>
          <w:highlight w:val="none"/>
        </w:rPr>
        <w:t>残疾人福利性单位声明函（若为残疾人福利性单位的才须填写）</w:t>
      </w:r>
      <w:bookmarkEnd w:id="336"/>
      <w:bookmarkEnd w:id="337"/>
      <w:bookmarkEnd w:id="338"/>
    </w:p>
    <w:p w14:paraId="6D326654">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highlight w:val="none"/>
        </w:rPr>
        <w:t>〔2017〕 141</w:t>
      </w:r>
      <w:r>
        <w:rPr>
          <w:rFonts w:hint="eastAsia" w:ascii="宋体" w:hAnsi="宋体" w:eastAsia="宋体" w:cs="宋体"/>
          <w:color w:val="auto"/>
          <w:spacing w:val="6"/>
          <w:sz w:val="24"/>
          <w:highlight w:val="none"/>
        </w:rPr>
        <w:t>号）的规定，本单位为符合条件的残疾人福利性单位，且本单位参加</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单位的</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4089A21D">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7FACC364">
      <w:pPr>
        <w:widowControl/>
        <w:spacing w:line="600" w:lineRule="exact"/>
        <w:ind w:firstLine="504" w:firstLineChars="200"/>
        <w:rPr>
          <w:rFonts w:hint="eastAsia" w:ascii="宋体" w:hAnsi="宋体" w:eastAsia="宋体" w:cs="宋体"/>
          <w:color w:val="auto"/>
          <w:spacing w:val="6"/>
          <w:sz w:val="24"/>
          <w:highlight w:val="none"/>
        </w:rPr>
      </w:pPr>
    </w:p>
    <w:p w14:paraId="1C6B7C49">
      <w:pPr>
        <w:widowControl/>
        <w:spacing w:line="600" w:lineRule="exact"/>
        <w:ind w:firstLine="504" w:firstLineChars="200"/>
        <w:rPr>
          <w:rFonts w:hint="eastAsia" w:ascii="宋体" w:hAnsi="宋体" w:eastAsia="宋体" w:cs="宋体"/>
          <w:color w:val="auto"/>
          <w:spacing w:val="6"/>
          <w:sz w:val="24"/>
          <w:highlight w:val="none"/>
        </w:rPr>
      </w:pPr>
    </w:p>
    <w:p w14:paraId="28C05BA7">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282C0509">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5C70627">
      <w:pPr>
        <w:widowControl/>
        <w:rPr>
          <w:rFonts w:hint="eastAsia" w:ascii="宋体" w:hAnsi="宋体" w:eastAsia="宋体" w:cs="宋体"/>
          <w:b/>
          <w:bCs/>
          <w:color w:val="auto"/>
          <w:sz w:val="24"/>
          <w:highlight w:val="none"/>
        </w:rPr>
      </w:pPr>
      <w:r>
        <w:rPr>
          <w:rFonts w:hint="eastAsia" w:ascii="宋体" w:hAnsi="宋体" w:eastAsia="宋体" w:cs="宋体"/>
          <w:color w:val="auto"/>
          <w:szCs w:val="21"/>
          <w:highlight w:val="none"/>
        </w:rPr>
        <w:br w:type="page"/>
      </w:r>
      <w:bookmarkStart w:id="339" w:name="_Toc6017"/>
      <w:r>
        <w:rPr>
          <w:rFonts w:hint="eastAsia" w:ascii="宋体" w:hAnsi="宋体" w:eastAsia="宋体" w:cs="宋体"/>
          <w:b/>
          <w:bCs/>
          <w:color w:val="auto"/>
          <w:sz w:val="24"/>
          <w:highlight w:val="none"/>
        </w:rPr>
        <w:t>格式3：</w:t>
      </w:r>
      <w:bookmarkEnd w:id="339"/>
    </w:p>
    <w:p w14:paraId="41F549F7">
      <w:pPr>
        <w:widowControl/>
        <w:spacing w:line="588" w:lineRule="exact"/>
        <w:jc w:val="center"/>
        <w:rPr>
          <w:rFonts w:hint="eastAsia" w:ascii="宋体" w:hAnsi="宋体" w:eastAsia="宋体" w:cs="宋体"/>
          <w:b/>
          <w:color w:val="auto"/>
          <w:spacing w:val="6"/>
          <w:sz w:val="24"/>
          <w:highlight w:val="none"/>
        </w:rPr>
      </w:pPr>
      <w:bookmarkStart w:id="340" w:name="_Toc19100"/>
      <w:bookmarkStart w:id="341" w:name="_Toc24417"/>
      <w:bookmarkStart w:id="342" w:name="_Toc19129"/>
      <w:r>
        <w:rPr>
          <w:rFonts w:hint="eastAsia" w:ascii="宋体" w:hAnsi="宋体" w:eastAsia="宋体" w:cs="宋体"/>
          <w:b/>
          <w:color w:val="auto"/>
          <w:spacing w:val="6"/>
          <w:sz w:val="24"/>
          <w:highlight w:val="none"/>
        </w:rPr>
        <w:t>监狱企业证明文件（若为监狱企业的才须填写）</w:t>
      </w:r>
      <w:bookmarkEnd w:id="340"/>
      <w:bookmarkEnd w:id="341"/>
      <w:bookmarkEnd w:id="342"/>
    </w:p>
    <w:p w14:paraId="2A2203FB">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241C581">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监狱企业参加政府采购活动时，应当提供由省级以上监狱管理局、戒毒管理局（含新疆生产建设兵团）出具的属于监狱企业的证明文件。</w:t>
      </w:r>
    </w:p>
    <w:p w14:paraId="1672DE68">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注：符合条件的监狱企业在参加政府采购活动时，应当按《财政部 司法部关于政府采购支持监狱企业发展有关问题的通知》（财库[2014]68号）提供规定的《监狱企业证明文件》，并对声明的真实性负责。</w:t>
      </w:r>
    </w:p>
    <w:p w14:paraId="1C8C4EC1">
      <w:pPr>
        <w:pStyle w:val="24"/>
        <w:ind w:left="0" w:leftChars="0"/>
        <w:rPr>
          <w:rFonts w:hint="eastAsia" w:ascii="宋体" w:hAnsi="宋体" w:eastAsia="宋体" w:cs="宋体"/>
          <w:color w:val="auto"/>
          <w:highlight w:val="none"/>
        </w:rPr>
      </w:pPr>
    </w:p>
    <w:p w14:paraId="45BABF1D">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0F66E0F6">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1D0241E">
      <w:pPr>
        <w:rPr>
          <w:rFonts w:hint="eastAsia" w:ascii="宋体" w:hAnsi="宋体" w:eastAsia="宋体" w:cs="宋体"/>
          <w:color w:val="auto"/>
          <w:highlight w:val="none"/>
        </w:rPr>
      </w:pPr>
    </w:p>
    <w:p w14:paraId="1FEEED90">
      <w:pPr>
        <w:spacing w:line="360" w:lineRule="auto"/>
        <w:ind w:firstLine="424" w:firstLineChars="202"/>
        <w:rPr>
          <w:rFonts w:hint="eastAsia" w:ascii="宋体" w:hAnsi="宋体" w:eastAsia="宋体" w:cs="宋体"/>
          <w:color w:val="auto"/>
          <w:highlight w:val="none"/>
        </w:rPr>
      </w:pPr>
    </w:p>
    <w:p w14:paraId="371B5755">
      <w:pPr>
        <w:spacing w:line="360" w:lineRule="auto"/>
        <w:ind w:firstLine="424" w:firstLineChars="202"/>
        <w:rPr>
          <w:rFonts w:hint="eastAsia" w:ascii="宋体" w:hAnsi="宋体" w:eastAsia="宋体" w:cs="宋体"/>
          <w:color w:val="auto"/>
          <w:highlight w:val="none"/>
        </w:rPr>
      </w:pPr>
    </w:p>
    <w:p w14:paraId="28CE1686">
      <w:pPr>
        <w:spacing w:line="360" w:lineRule="auto"/>
        <w:ind w:firstLine="424" w:firstLineChars="202"/>
        <w:rPr>
          <w:rFonts w:hint="eastAsia" w:ascii="宋体" w:hAnsi="宋体" w:eastAsia="宋体" w:cs="宋体"/>
          <w:color w:val="auto"/>
          <w:highlight w:val="none"/>
        </w:rPr>
      </w:pPr>
    </w:p>
    <w:p w14:paraId="31C7DD4A">
      <w:pPr>
        <w:spacing w:line="360" w:lineRule="auto"/>
        <w:ind w:firstLine="424" w:firstLineChars="202"/>
        <w:rPr>
          <w:rFonts w:hint="eastAsia" w:ascii="宋体" w:hAnsi="宋体" w:eastAsia="宋体" w:cs="宋体"/>
          <w:color w:val="auto"/>
          <w:highlight w:val="none"/>
        </w:rPr>
      </w:pPr>
    </w:p>
    <w:p w14:paraId="6CE881B2">
      <w:pPr>
        <w:spacing w:line="360" w:lineRule="auto"/>
        <w:ind w:firstLine="424" w:firstLineChars="202"/>
        <w:rPr>
          <w:rFonts w:hint="eastAsia" w:ascii="宋体" w:hAnsi="宋体" w:eastAsia="宋体" w:cs="宋体"/>
          <w:color w:val="auto"/>
          <w:highlight w:val="none"/>
        </w:rPr>
      </w:pPr>
    </w:p>
    <w:p w14:paraId="7A38A483">
      <w:pPr>
        <w:spacing w:line="360" w:lineRule="auto"/>
        <w:ind w:firstLine="424" w:firstLineChars="202"/>
        <w:rPr>
          <w:rFonts w:hint="eastAsia" w:ascii="宋体" w:hAnsi="宋体" w:eastAsia="宋体" w:cs="宋体"/>
          <w:color w:val="auto"/>
          <w:highlight w:val="none"/>
        </w:rPr>
      </w:pPr>
    </w:p>
    <w:p w14:paraId="4555D70A">
      <w:pPr>
        <w:spacing w:line="360" w:lineRule="auto"/>
        <w:ind w:firstLine="424" w:firstLineChars="202"/>
        <w:rPr>
          <w:rFonts w:hint="eastAsia" w:ascii="宋体" w:hAnsi="宋体" w:eastAsia="宋体" w:cs="宋体"/>
          <w:color w:val="auto"/>
          <w:highlight w:val="none"/>
        </w:rPr>
      </w:pPr>
    </w:p>
    <w:p w14:paraId="2BD5A4C4">
      <w:pPr>
        <w:spacing w:line="360" w:lineRule="auto"/>
        <w:ind w:firstLine="424" w:firstLineChars="202"/>
        <w:rPr>
          <w:rFonts w:hint="eastAsia" w:ascii="宋体" w:hAnsi="宋体" w:eastAsia="宋体" w:cs="宋体"/>
          <w:color w:val="auto"/>
          <w:highlight w:val="none"/>
        </w:rPr>
      </w:pPr>
    </w:p>
    <w:p w14:paraId="27AC5E8F">
      <w:pPr>
        <w:spacing w:line="360" w:lineRule="auto"/>
        <w:ind w:firstLine="424" w:firstLineChars="202"/>
        <w:rPr>
          <w:rFonts w:hint="eastAsia" w:ascii="宋体" w:hAnsi="宋体" w:eastAsia="宋体" w:cs="宋体"/>
          <w:color w:val="auto"/>
          <w:highlight w:val="none"/>
        </w:rPr>
      </w:pPr>
    </w:p>
    <w:p w14:paraId="730A5156">
      <w:pPr>
        <w:spacing w:line="360" w:lineRule="auto"/>
        <w:ind w:firstLine="424" w:firstLineChars="202"/>
        <w:rPr>
          <w:rFonts w:hint="eastAsia" w:ascii="宋体" w:hAnsi="宋体" w:eastAsia="宋体" w:cs="宋体"/>
          <w:color w:val="auto"/>
          <w:highlight w:val="none"/>
        </w:rPr>
      </w:pPr>
    </w:p>
    <w:p w14:paraId="442411E7">
      <w:pPr>
        <w:rPr>
          <w:rStyle w:val="135"/>
          <w:rFonts w:hint="eastAsia" w:ascii="宋体" w:hAnsi="宋体" w:eastAsia="宋体" w:cs="宋体"/>
          <w:color w:val="auto"/>
          <w:highlight w:val="none"/>
        </w:rPr>
      </w:pPr>
      <w:bookmarkStart w:id="343" w:name="_Toc8503"/>
      <w:bookmarkStart w:id="344" w:name="_Toc10592"/>
      <w:r>
        <w:rPr>
          <w:rStyle w:val="135"/>
          <w:rFonts w:hint="eastAsia" w:ascii="宋体" w:hAnsi="宋体" w:eastAsia="宋体" w:cs="宋体"/>
          <w:color w:val="auto"/>
          <w:highlight w:val="none"/>
        </w:rPr>
        <w:br w:type="page"/>
      </w:r>
    </w:p>
    <w:p w14:paraId="487DC3A4">
      <w:pPr>
        <w:spacing w:line="360" w:lineRule="auto"/>
        <w:jc w:val="center"/>
        <w:outlineLvl w:val="2"/>
        <w:rPr>
          <w:rFonts w:hint="eastAsia" w:ascii="宋体" w:hAnsi="宋体" w:eastAsia="宋体" w:cs="宋体"/>
          <w:b/>
          <w:bCs/>
          <w:color w:val="auto"/>
          <w:sz w:val="24"/>
          <w:szCs w:val="21"/>
          <w:highlight w:val="none"/>
        </w:rPr>
      </w:pPr>
      <w:bookmarkStart w:id="345" w:name="_Toc32130"/>
      <w:bookmarkStart w:id="346" w:name="_Toc8405"/>
      <w:bookmarkStart w:id="347" w:name="_Toc10074"/>
      <w:bookmarkStart w:id="348" w:name="_Toc786"/>
      <w:bookmarkStart w:id="349" w:name="_Toc20017"/>
      <w:bookmarkStart w:id="350" w:name="_Toc15356"/>
      <w:bookmarkStart w:id="351" w:name="_Toc27418"/>
      <w:r>
        <w:rPr>
          <w:rStyle w:val="135"/>
          <w:rFonts w:hint="eastAsia" w:ascii="宋体" w:hAnsi="宋体" w:eastAsia="宋体" w:cs="宋体"/>
          <w:color w:val="auto"/>
          <w:sz w:val="28"/>
          <w:szCs w:val="28"/>
          <w:highlight w:val="none"/>
        </w:rPr>
        <w:t>（三）投标人承诺书</w:t>
      </w:r>
      <w:bookmarkEnd w:id="345"/>
      <w:bookmarkEnd w:id="346"/>
      <w:bookmarkEnd w:id="347"/>
      <w:bookmarkEnd w:id="348"/>
      <w:bookmarkEnd w:id="349"/>
      <w:bookmarkEnd w:id="350"/>
      <w:bookmarkEnd w:id="351"/>
    </w:p>
    <w:p w14:paraId="1DC8BA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本企业参与</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）项目的投标，现作如下承诺：</w:t>
      </w:r>
    </w:p>
    <w:p w14:paraId="7764BB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1.我公司参与此次投标活动所提交的所有资料都是合法、真实、有效的。</w:t>
      </w:r>
    </w:p>
    <w:p w14:paraId="0601ED0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2.不与其他投标人串通投标、围标，依法、依规公平竞争，不损害采购人或其他投标人的合法权益。</w:t>
      </w:r>
    </w:p>
    <w:p w14:paraId="7DDDBD3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3.不转让、出租、出借资质证书、人员岗位证书，不以法律、法规禁止的方式投标。</w:t>
      </w:r>
    </w:p>
    <w:p w14:paraId="19D36E4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4.不与采购人或采购代理机构串通投标，不损害国家利益、社会公共利益或其他当事人的合法权益。</w:t>
      </w:r>
    </w:p>
    <w:p w14:paraId="027C325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5.不向采购人、评标委员会成员、监督人员行贿。</w:t>
      </w:r>
    </w:p>
    <w:p w14:paraId="277033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6.不扰乱公共资源交易活动正常秩序。</w:t>
      </w:r>
    </w:p>
    <w:p w14:paraId="2D49FF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7.不进行虚假恶意投诉。</w:t>
      </w:r>
    </w:p>
    <w:p w14:paraId="2E9CA78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8.因违反法律、法规或相关规定被查处的，不干预案件查处。</w:t>
      </w:r>
    </w:p>
    <w:p w14:paraId="4F51A84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如出现违法、违规或不良行为，甘愿接受公共资源交易监督管理部门、纪检监察机关或司法机关调查处理。违法、违规或不良行为事实成立的，本投标人承担相关责任。给采购人造成损失的，依法承担赔偿责任。</w:t>
      </w:r>
    </w:p>
    <w:p w14:paraId="090DEEDC">
      <w:pPr>
        <w:spacing w:before="100" w:after="100" w:line="360" w:lineRule="auto"/>
        <w:rPr>
          <w:rFonts w:hint="eastAsia" w:ascii="宋体" w:hAnsi="宋体" w:eastAsia="宋体" w:cs="宋体"/>
          <w:color w:val="auto"/>
          <w:sz w:val="24"/>
          <w:highlight w:val="none"/>
        </w:rPr>
      </w:pPr>
    </w:p>
    <w:p w14:paraId="32B6198E">
      <w:pPr>
        <w:spacing w:line="48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3820FE6F">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09E48F26">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57830188">
      <w:pPr>
        <w:rPr>
          <w:rFonts w:hint="eastAsia" w:ascii="宋体" w:hAnsi="宋体" w:eastAsia="宋体" w:cs="宋体"/>
          <w:color w:val="auto"/>
          <w:szCs w:val="21"/>
          <w:highlight w:val="none"/>
        </w:rPr>
      </w:pPr>
    </w:p>
    <w:p w14:paraId="085EA5B1">
      <w:pPr>
        <w:rPr>
          <w:rStyle w:val="135"/>
          <w:rFonts w:hint="eastAsia" w:ascii="宋体" w:hAnsi="宋体" w:eastAsia="宋体" w:cs="宋体"/>
          <w:color w:val="auto"/>
          <w:highlight w:val="none"/>
        </w:rPr>
      </w:pPr>
      <w:r>
        <w:rPr>
          <w:rStyle w:val="135"/>
          <w:rFonts w:hint="eastAsia" w:ascii="宋体" w:hAnsi="宋体" w:eastAsia="宋体" w:cs="宋体"/>
          <w:color w:val="auto"/>
          <w:highlight w:val="none"/>
        </w:rPr>
        <w:br w:type="page"/>
      </w:r>
    </w:p>
    <w:p w14:paraId="6619FF7E">
      <w:pPr>
        <w:spacing w:line="440" w:lineRule="exact"/>
        <w:jc w:val="center"/>
        <w:outlineLvl w:val="1"/>
        <w:rPr>
          <w:rFonts w:hint="eastAsia" w:ascii="宋体" w:hAnsi="宋体" w:eastAsia="宋体" w:cs="宋体"/>
          <w:b/>
          <w:color w:val="auto"/>
          <w:sz w:val="28"/>
          <w:szCs w:val="28"/>
          <w:highlight w:val="none"/>
        </w:rPr>
      </w:pPr>
      <w:bookmarkStart w:id="352" w:name="_Toc25152"/>
      <w:bookmarkStart w:id="353" w:name="_Toc9586"/>
      <w:bookmarkStart w:id="354" w:name="_Toc6091"/>
      <w:r>
        <w:rPr>
          <w:rStyle w:val="135"/>
          <w:rFonts w:hint="eastAsia" w:ascii="宋体" w:hAnsi="宋体" w:eastAsia="宋体" w:cs="宋体"/>
          <w:color w:val="auto"/>
          <w:highlight w:val="none"/>
        </w:rPr>
        <w:t>四、技术部分格式</w:t>
      </w:r>
      <w:bookmarkEnd w:id="343"/>
      <w:bookmarkEnd w:id="344"/>
      <w:bookmarkEnd w:id="352"/>
      <w:bookmarkEnd w:id="353"/>
      <w:bookmarkEnd w:id="354"/>
      <w:bookmarkStart w:id="355" w:name="_Toc350930014"/>
      <w:bookmarkStart w:id="356" w:name="_Toc272421895"/>
      <w:bookmarkStart w:id="357" w:name="_Toc350930229"/>
      <w:bookmarkStart w:id="358" w:name="_Toc205017035"/>
      <w:bookmarkStart w:id="359" w:name="_Toc204749340"/>
      <w:bookmarkStart w:id="360" w:name="_Toc351117898"/>
      <w:bookmarkStart w:id="361" w:name="_Toc350330514"/>
    </w:p>
    <w:bookmarkEnd w:id="355"/>
    <w:bookmarkEnd w:id="356"/>
    <w:bookmarkEnd w:id="357"/>
    <w:bookmarkEnd w:id="358"/>
    <w:bookmarkEnd w:id="359"/>
    <w:bookmarkEnd w:id="360"/>
    <w:bookmarkEnd w:id="361"/>
    <w:p w14:paraId="49CDABF9">
      <w:pPr>
        <w:pStyle w:val="5"/>
        <w:jc w:val="center"/>
        <w:rPr>
          <w:rFonts w:hint="eastAsia" w:ascii="宋体" w:hAnsi="宋体" w:eastAsia="宋体" w:cs="宋体"/>
          <w:color w:val="auto"/>
          <w:szCs w:val="28"/>
          <w:highlight w:val="none"/>
        </w:rPr>
      </w:pPr>
      <w:bookmarkStart w:id="362" w:name="_Toc493600041"/>
      <w:bookmarkStart w:id="363" w:name="_Toc507412343"/>
      <w:bookmarkStart w:id="364" w:name="_Toc7496"/>
      <w:bookmarkStart w:id="365" w:name="_Toc502175768"/>
      <w:bookmarkStart w:id="366" w:name="_Toc213141099"/>
      <w:bookmarkStart w:id="367" w:name="_Toc497322844"/>
      <w:bookmarkStart w:id="368" w:name="_Toc7201"/>
      <w:bookmarkStart w:id="369" w:name="_Toc4776"/>
      <w:bookmarkStart w:id="370" w:name="_Toc17575"/>
      <w:bookmarkStart w:id="371" w:name="_Toc15253"/>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一</w:t>
      </w:r>
      <w:r>
        <w:rPr>
          <w:rFonts w:hint="eastAsia" w:ascii="宋体" w:hAnsi="宋体" w:eastAsia="宋体" w:cs="宋体"/>
          <w:color w:val="auto"/>
          <w:szCs w:val="28"/>
          <w:highlight w:val="none"/>
        </w:rPr>
        <w:t>）技术规格偏离表</w:t>
      </w:r>
      <w:bookmarkEnd w:id="362"/>
      <w:bookmarkEnd w:id="363"/>
      <w:bookmarkEnd w:id="364"/>
      <w:bookmarkEnd w:id="365"/>
      <w:bookmarkEnd w:id="366"/>
      <w:bookmarkEnd w:id="367"/>
      <w:bookmarkEnd w:id="368"/>
    </w:p>
    <w:p w14:paraId="36C2050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请按投标产品的实际技术参数，逐条对应招标文件的“采购需求”中要求的技术参数认真填写该表。</w:t>
      </w:r>
    </w:p>
    <w:p w14:paraId="751C1C50">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项目名称：</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p>
    <w:p w14:paraId="46F0C063">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项目编号：</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bCs/>
          <w:color w:val="auto"/>
          <w:sz w:val="24"/>
          <w:highlight w:val="none"/>
        </w:rPr>
        <w:t xml:space="preserve">   </w:t>
      </w:r>
    </w:p>
    <w:tbl>
      <w:tblPr>
        <w:tblStyle w:val="42"/>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2283"/>
        <w:gridCol w:w="2967"/>
        <w:gridCol w:w="866"/>
        <w:gridCol w:w="2317"/>
      </w:tblGrid>
      <w:tr w14:paraId="495F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46" w:type="dxa"/>
            <w:vAlign w:val="center"/>
          </w:tcPr>
          <w:p w14:paraId="38FD6F4A">
            <w:pPr>
              <w:jc w:val="center"/>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名称</w:t>
            </w:r>
          </w:p>
        </w:tc>
        <w:tc>
          <w:tcPr>
            <w:tcW w:w="2283" w:type="dxa"/>
            <w:vAlign w:val="center"/>
          </w:tcPr>
          <w:p w14:paraId="73E2788E">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招标文件技术需求</w:t>
            </w:r>
          </w:p>
        </w:tc>
        <w:tc>
          <w:tcPr>
            <w:tcW w:w="2967" w:type="dxa"/>
            <w:vAlign w:val="center"/>
          </w:tcPr>
          <w:p w14:paraId="05CB54CA">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技术参数（指标）偏离值对比及说明（与招标文件采购需求逐条对照）参数</w:t>
            </w:r>
          </w:p>
        </w:tc>
        <w:tc>
          <w:tcPr>
            <w:tcW w:w="866" w:type="dxa"/>
            <w:vAlign w:val="center"/>
          </w:tcPr>
          <w:p w14:paraId="0AD8410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偏离</w:t>
            </w:r>
          </w:p>
        </w:tc>
        <w:tc>
          <w:tcPr>
            <w:tcW w:w="2317" w:type="dxa"/>
            <w:vAlign w:val="center"/>
          </w:tcPr>
          <w:p w14:paraId="487A65B0">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技术支持资料索引（页码或条目号等）</w:t>
            </w:r>
          </w:p>
        </w:tc>
      </w:tr>
      <w:tr w14:paraId="21FB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246" w:type="dxa"/>
          </w:tcPr>
          <w:p w14:paraId="1D003FEF">
            <w:pPr>
              <w:rPr>
                <w:rFonts w:hint="eastAsia" w:ascii="宋体" w:hAnsi="宋体" w:eastAsia="宋体" w:cs="宋体"/>
                <w:color w:val="auto"/>
                <w:sz w:val="24"/>
                <w:highlight w:val="none"/>
              </w:rPr>
            </w:pPr>
          </w:p>
        </w:tc>
        <w:tc>
          <w:tcPr>
            <w:tcW w:w="2283" w:type="dxa"/>
          </w:tcPr>
          <w:p w14:paraId="622248BC">
            <w:pPr>
              <w:rPr>
                <w:rFonts w:hint="eastAsia" w:ascii="宋体" w:hAnsi="宋体" w:eastAsia="宋体" w:cs="宋体"/>
                <w:color w:val="auto"/>
                <w:sz w:val="24"/>
                <w:highlight w:val="none"/>
              </w:rPr>
            </w:pPr>
          </w:p>
        </w:tc>
        <w:tc>
          <w:tcPr>
            <w:tcW w:w="2967" w:type="dxa"/>
          </w:tcPr>
          <w:p w14:paraId="4DBB8211">
            <w:pPr>
              <w:rPr>
                <w:rFonts w:hint="eastAsia" w:ascii="宋体" w:hAnsi="宋体" w:eastAsia="宋体" w:cs="宋体"/>
                <w:color w:val="auto"/>
                <w:sz w:val="24"/>
                <w:highlight w:val="none"/>
              </w:rPr>
            </w:pPr>
          </w:p>
        </w:tc>
        <w:tc>
          <w:tcPr>
            <w:tcW w:w="866" w:type="dxa"/>
          </w:tcPr>
          <w:p w14:paraId="5B9DFE88">
            <w:pPr>
              <w:rPr>
                <w:rFonts w:hint="eastAsia" w:ascii="宋体" w:hAnsi="宋体" w:eastAsia="宋体" w:cs="宋体"/>
                <w:color w:val="auto"/>
                <w:sz w:val="24"/>
                <w:highlight w:val="none"/>
              </w:rPr>
            </w:pPr>
          </w:p>
        </w:tc>
        <w:tc>
          <w:tcPr>
            <w:tcW w:w="2317" w:type="dxa"/>
            <w:vAlign w:val="center"/>
          </w:tcPr>
          <w:p w14:paraId="4D116128">
            <w:pPr>
              <w:rPr>
                <w:rFonts w:hint="eastAsia" w:ascii="宋体" w:hAnsi="宋体" w:eastAsia="宋体" w:cs="宋体"/>
                <w:color w:val="auto"/>
                <w:sz w:val="24"/>
                <w:highlight w:val="none"/>
              </w:rPr>
            </w:pPr>
          </w:p>
        </w:tc>
      </w:tr>
      <w:tr w14:paraId="15C6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46" w:type="dxa"/>
          </w:tcPr>
          <w:p w14:paraId="201304CF">
            <w:pPr>
              <w:rPr>
                <w:rFonts w:hint="eastAsia" w:ascii="宋体" w:hAnsi="宋体" w:eastAsia="宋体" w:cs="宋体"/>
                <w:color w:val="auto"/>
                <w:sz w:val="24"/>
                <w:highlight w:val="none"/>
              </w:rPr>
            </w:pPr>
          </w:p>
        </w:tc>
        <w:tc>
          <w:tcPr>
            <w:tcW w:w="2283" w:type="dxa"/>
          </w:tcPr>
          <w:p w14:paraId="410B1757">
            <w:pPr>
              <w:rPr>
                <w:rFonts w:hint="eastAsia" w:ascii="宋体" w:hAnsi="宋体" w:eastAsia="宋体" w:cs="宋体"/>
                <w:color w:val="auto"/>
                <w:sz w:val="24"/>
                <w:highlight w:val="none"/>
              </w:rPr>
            </w:pPr>
          </w:p>
        </w:tc>
        <w:tc>
          <w:tcPr>
            <w:tcW w:w="2967" w:type="dxa"/>
          </w:tcPr>
          <w:p w14:paraId="4A28B0DC">
            <w:pPr>
              <w:rPr>
                <w:rFonts w:hint="eastAsia" w:ascii="宋体" w:hAnsi="宋体" w:eastAsia="宋体" w:cs="宋体"/>
                <w:color w:val="auto"/>
                <w:sz w:val="24"/>
                <w:highlight w:val="none"/>
              </w:rPr>
            </w:pPr>
          </w:p>
        </w:tc>
        <w:tc>
          <w:tcPr>
            <w:tcW w:w="866" w:type="dxa"/>
          </w:tcPr>
          <w:p w14:paraId="7FD75D23">
            <w:pPr>
              <w:rPr>
                <w:rFonts w:hint="eastAsia" w:ascii="宋体" w:hAnsi="宋体" w:eastAsia="宋体" w:cs="宋体"/>
                <w:color w:val="auto"/>
                <w:sz w:val="24"/>
                <w:highlight w:val="none"/>
              </w:rPr>
            </w:pPr>
          </w:p>
        </w:tc>
        <w:tc>
          <w:tcPr>
            <w:tcW w:w="2317" w:type="dxa"/>
            <w:vAlign w:val="center"/>
          </w:tcPr>
          <w:p w14:paraId="368BFCEA">
            <w:pPr>
              <w:rPr>
                <w:rFonts w:hint="eastAsia" w:ascii="宋体" w:hAnsi="宋体" w:eastAsia="宋体" w:cs="宋体"/>
                <w:color w:val="auto"/>
                <w:sz w:val="24"/>
                <w:highlight w:val="none"/>
              </w:rPr>
            </w:pPr>
          </w:p>
        </w:tc>
      </w:tr>
      <w:tr w14:paraId="7BFD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6EA41EAE">
            <w:pPr>
              <w:rPr>
                <w:rFonts w:hint="eastAsia" w:ascii="宋体" w:hAnsi="宋体" w:eastAsia="宋体" w:cs="宋体"/>
                <w:color w:val="auto"/>
                <w:sz w:val="24"/>
                <w:highlight w:val="none"/>
              </w:rPr>
            </w:pPr>
          </w:p>
        </w:tc>
        <w:tc>
          <w:tcPr>
            <w:tcW w:w="2283" w:type="dxa"/>
          </w:tcPr>
          <w:p w14:paraId="5F04F39E">
            <w:pPr>
              <w:rPr>
                <w:rFonts w:hint="eastAsia" w:ascii="宋体" w:hAnsi="宋体" w:eastAsia="宋体" w:cs="宋体"/>
                <w:color w:val="auto"/>
                <w:sz w:val="24"/>
                <w:highlight w:val="none"/>
              </w:rPr>
            </w:pPr>
          </w:p>
        </w:tc>
        <w:tc>
          <w:tcPr>
            <w:tcW w:w="2967" w:type="dxa"/>
          </w:tcPr>
          <w:p w14:paraId="14EE79AA">
            <w:pPr>
              <w:rPr>
                <w:rFonts w:hint="eastAsia" w:ascii="宋体" w:hAnsi="宋体" w:eastAsia="宋体" w:cs="宋体"/>
                <w:color w:val="auto"/>
                <w:sz w:val="24"/>
                <w:highlight w:val="none"/>
              </w:rPr>
            </w:pPr>
          </w:p>
        </w:tc>
        <w:tc>
          <w:tcPr>
            <w:tcW w:w="866" w:type="dxa"/>
          </w:tcPr>
          <w:p w14:paraId="35CCD72A">
            <w:pPr>
              <w:rPr>
                <w:rFonts w:hint="eastAsia" w:ascii="宋体" w:hAnsi="宋体" w:eastAsia="宋体" w:cs="宋体"/>
                <w:color w:val="auto"/>
                <w:sz w:val="24"/>
                <w:highlight w:val="none"/>
              </w:rPr>
            </w:pPr>
          </w:p>
        </w:tc>
        <w:tc>
          <w:tcPr>
            <w:tcW w:w="2317" w:type="dxa"/>
            <w:vAlign w:val="center"/>
          </w:tcPr>
          <w:p w14:paraId="0498FE9B">
            <w:pPr>
              <w:rPr>
                <w:rFonts w:hint="eastAsia" w:ascii="宋体" w:hAnsi="宋体" w:eastAsia="宋体" w:cs="宋体"/>
                <w:color w:val="auto"/>
                <w:sz w:val="24"/>
                <w:highlight w:val="none"/>
              </w:rPr>
            </w:pPr>
          </w:p>
        </w:tc>
      </w:tr>
      <w:tr w14:paraId="01BE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24EDC83D">
            <w:pPr>
              <w:rPr>
                <w:rFonts w:hint="eastAsia" w:ascii="宋体" w:hAnsi="宋体" w:eastAsia="宋体" w:cs="宋体"/>
                <w:color w:val="auto"/>
                <w:sz w:val="24"/>
                <w:highlight w:val="none"/>
              </w:rPr>
            </w:pPr>
          </w:p>
        </w:tc>
        <w:tc>
          <w:tcPr>
            <w:tcW w:w="2283" w:type="dxa"/>
          </w:tcPr>
          <w:p w14:paraId="24E2DA96">
            <w:pPr>
              <w:rPr>
                <w:rFonts w:hint="eastAsia" w:ascii="宋体" w:hAnsi="宋体" w:eastAsia="宋体" w:cs="宋体"/>
                <w:color w:val="auto"/>
                <w:sz w:val="24"/>
                <w:highlight w:val="none"/>
              </w:rPr>
            </w:pPr>
          </w:p>
        </w:tc>
        <w:tc>
          <w:tcPr>
            <w:tcW w:w="2967" w:type="dxa"/>
          </w:tcPr>
          <w:p w14:paraId="7B335ADA">
            <w:pPr>
              <w:rPr>
                <w:rFonts w:hint="eastAsia" w:ascii="宋体" w:hAnsi="宋体" w:eastAsia="宋体" w:cs="宋体"/>
                <w:color w:val="auto"/>
                <w:sz w:val="24"/>
                <w:highlight w:val="none"/>
              </w:rPr>
            </w:pPr>
          </w:p>
        </w:tc>
        <w:tc>
          <w:tcPr>
            <w:tcW w:w="866" w:type="dxa"/>
          </w:tcPr>
          <w:p w14:paraId="356033BC">
            <w:pPr>
              <w:rPr>
                <w:rFonts w:hint="eastAsia" w:ascii="宋体" w:hAnsi="宋体" w:eastAsia="宋体" w:cs="宋体"/>
                <w:color w:val="auto"/>
                <w:sz w:val="24"/>
                <w:highlight w:val="none"/>
              </w:rPr>
            </w:pPr>
          </w:p>
        </w:tc>
        <w:tc>
          <w:tcPr>
            <w:tcW w:w="2317" w:type="dxa"/>
            <w:vAlign w:val="center"/>
          </w:tcPr>
          <w:p w14:paraId="4D3AC394">
            <w:pPr>
              <w:rPr>
                <w:rFonts w:hint="eastAsia" w:ascii="宋体" w:hAnsi="宋体" w:eastAsia="宋体" w:cs="宋体"/>
                <w:color w:val="auto"/>
                <w:sz w:val="24"/>
                <w:highlight w:val="none"/>
              </w:rPr>
            </w:pPr>
          </w:p>
        </w:tc>
      </w:tr>
      <w:tr w14:paraId="07CC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5CCC97AA">
            <w:pPr>
              <w:rPr>
                <w:rFonts w:hint="eastAsia" w:ascii="宋体" w:hAnsi="宋体" w:eastAsia="宋体" w:cs="宋体"/>
                <w:color w:val="auto"/>
                <w:sz w:val="24"/>
                <w:highlight w:val="none"/>
              </w:rPr>
            </w:pPr>
          </w:p>
        </w:tc>
        <w:tc>
          <w:tcPr>
            <w:tcW w:w="2283" w:type="dxa"/>
          </w:tcPr>
          <w:p w14:paraId="4170FA89">
            <w:pPr>
              <w:rPr>
                <w:rFonts w:hint="eastAsia" w:ascii="宋体" w:hAnsi="宋体" w:eastAsia="宋体" w:cs="宋体"/>
                <w:color w:val="auto"/>
                <w:sz w:val="24"/>
                <w:highlight w:val="none"/>
              </w:rPr>
            </w:pPr>
          </w:p>
        </w:tc>
        <w:tc>
          <w:tcPr>
            <w:tcW w:w="2967" w:type="dxa"/>
          </w:tcPr>
          <w:p w14:paraId="13D418E4">
            <w:pPr>
              <w:rPr>
                <w:rFonts w:hint="eastAsia" w:ascii="宋体" w:hAnsi="宋体" w:eastAsia="宋体" w:cs="宋体"/>
                <w:color w:val="auto"/>
                <w:sz w:val="24"/>
                <w:highlight w:val="none"/>
              </w:rPr>
            </w:pPr>
          </w:p>
        </w:tc>
        <w:tc>
          <w:tcPr>
            <w:tcW w:w="866" w:type="dxa"/>
          </w:tcPr>
          <w:p w14:paraId="4ECF9963">
            <w:pPr>
              <w:rPr>
                <w:rFonts w:hint="eastAsia" w:ascii="宋体" w:hAnsi="宋体" w:eastAsia="宋体" w:cs="宋体"/>
                <w:color w:val="auto"/>
                <w:sz w:val="24"/>
                <w:highlight w:val="none"/>
              </w:rPr>
            </w:pPr>
          </w:p>
        </w:tc>
        <w:tc>
          <w:tcPr>
            <w:tcW w:w="2317" w:type="dxa"/>
            <w:vAlign w:val="center"/>
          </w:tcPr>
          <w:p w14:paraId="06937B5B">
            <w:pPr>
              <w:rPr>
                <w:rFonts w:hint="eastAsia" w:ascii="宋体" w:hAnsi="宋体" w:eastAsia="宋体" w:cs="宋体"/>
                <w:color w:val="auto"/>
                <w:sz w:val="24"/>
                <w:highlight w:val="none"/>
              </w:rPr>
            </w:pPr>
          </w:p>
        </w:tc>
      </w:tr>
      <w:tr w14:paraId="41EB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246" w:type="dxa"/>
          </w:tcPr>
          <w:p w14:paraId="083D2DAC">
            <w:pP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283" w:type="dxa"/>
          </w:tcPr>
          <w:p w14:paraId="762B4A34">
            <w:pPr>
              <w:rPr>
                <w:rFonts w:hint="eastAsia" w:ascii="宋体" w:hAnsi="宋体" w:eastAsia="宋体" w:cs="宋体"/>
                <w:color w:val="auto"/>
                <w:sz w:val="24"/>
                <w:highlight w:val="none"/>
              </w:rPr>
            </w:pPr>
          </w:p>
        </w:tc>
        <w:tc>
          <w:tcPr>
            <w:tcW w:w="2967" w:type="dxa"/>
          </w:tcPr>
          <w:p w14:paraId="3C87889F">
            <w:pPr>
              <w:rPr>
                <w:rFonts w:hint="eastAsia" w:ascii="宋体" w:hAnsi="宋体" w:eastAsia="宋体" w:cs="宋体"/>
                <w:color w:val="auto"/>
                <w:sz w:val="24"/>
                <w:highlight w:val="none"/>
              </w:rPr>
            </w:pPr>
          </w:p>
        </w:tc>
        <w:tc>
          <w:tcPr>
            <w:tcW w:w="866" w:type="dxa"/>
          </w:tcPr>
          <w:p w14:paraId="1511082E">
            <w:pPr>
              <w:rPr>
                <w:rFonts w:hint="eastAsia" w:ascii="宋体" w:hAnsi="宋体" w:eastAsia="宋体" w:cs="宋体"/>
                <w:color w:val="auto"/>
                <w:sz w:val="24"/>
                <w:highlight w:val="none"/>
              </w:rPr>
            </w:pPr>
          </w:p>
        </w:tc>
        <w:tc>
          <w:tcPr>
            <w:tcW w:w="2317" w:type="dxa"/>
            <w:vAlign w:val="center"/>
          </w:tcPr>
          <w:p w14:paraId="630E79A5">
            <w:pPr>
              <w:rPr>
                <w:rFonts w:hint="eastAsia" w:ascii="宋体" w:hAnsi="宋体" w:eastAsia="宋体" w:cs="宋体"/>
                <w:color w:val="auto"/>
                <w:sz w:val="24"/>
                <w:highlight w:val="none"/>
              </w:rPr>
            </w:pPr>
          </w:p>
        </w:tc>
      </w:tr>
    </w:tbl>
    <w:p w14:paraId="3695519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格中“偏离”一列，投标人只能如实填写“正偏离”、“负偏离”或“无偏离”。凡优于招标文件要求的，按“正偏离”填写；低于招标文件要求的，按“负偏离”填写；满足招标文件要求的，按“无偏离”填写。并在“技术参数（指标）偏离值对比及说明（与招标文件采购需求逐条对照）参数”一列中写明技术参数，本表按参数指标章节内容顺序扩张。</w:t>
      </w:r>
    </w:p>
    <w:p w14:paraId="3F2B4DB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2、序号应对应该产品在第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章《采购需求》主要技术参数要求中的序号。</w:t>
      </w:r>
    </w:p>
    <w:p w14:paraId="7E4CC62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3、各投标人必须对招标文件第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章《采购需求》中的技术参数要求作出全面、真实的反映，投标人除如实填写技术规格偏离表外，本招标文件中对于指标要求提供证明材料的，投标人应当按要求执行。</w:t>
      </w:r>
    </w:p>
    <w:p w14:paraId="0E84D013">
      <w:pPr>
        <w:pStyle w:val="52"/>
        <w:outlineLvl w:val="9"/>
        <w:rPr>
          <w:rFonts w:hint="eastAsia" w:ascii="宋体" w:hAnsi="宋体" w:eastAsia="宋体" w:cs="宋体"/>
          <w:color w:val="auto"/>
          <w:highlight w:val="none"/>
        </w:rPr>
      </w:pPr>
      <w:r>
        <w:rPr>
          <w:rFonts w:hint="eastAsia" w:ascii="宋体" w:hAnsi="宋体" w:eastAsia="宋体" w:cs="宋体"/>
          <w:color w:val="auto"/>
          <w:highlight w:val="none"/>
        </w:rPr>
        <w:t>4、其他。</w:t>
      </w:r>
    </w:p>
    <w:p w14:paraId="64A6FF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（1）证明材料形式：①第三方机构检验报告，②制造厂商官方网站截图、产品白皮书、技术规格书，③其他具有效力的证明材料（如涉及定制产品必须提供证明材料，且加盖相关证明人鲜章）。</w:t>
      </w:r>
    </w:p>
    <w:p w14:paraId="3D07968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证明材料效力：第三方机构检验报告＞制造厂商官方网站截图、产品白皮书、技术规格书＞其他相关证明材料。注：如同一指标有多份证明材料且证明材料内容相互冲突的，以证明材料落款日期最为接近本项目招标公告发布日期的为准。</w:t>
      </w:r>
    </w:p>
    <w:p w14:paraId="153884C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证明材料要求：投标人应当确保证明材料的真实有效，提供虚假材料的自行承担不利后果。投标人在填写《产品技术偏离表》时，应当在表格“页码索引”处填写证明材料所在页码。未提供有效证明材料或证明材料中内容与所填报指标不一致的，该指标按不满足处理。</w:t>
      </w:r>
    </w:p>
    <w:p w14:paraId="19C70CFE">
      <w:pPr>
        <w:spacing w:line="480" w:lineRule="auto"/>
        <w:ind w:firstLine="480" w:firstLineChars="200"/>
        <w:jc w:val="left"/>
        <w:rPr>
          <w:rFonts w:hint="eastAsia" w:ascii="宋体" w:hAnsi="宋体" w:eastAsia="宋体" w:cs="宋体"/>
          <w:bCs/>
          <w:color w:val="auto"/>
          <w:sz w:val="24"/>
          <w:highlight w:val="none"/>
        </w:rPr>
      </w:pPr>
    </w:p>
    <w:p w14:paraId="3BE456C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3980D32">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038F7319">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7035029">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br w:type="page"/>
      </w:r>
    </w:p>
    <w:p w14:paraId="67C83A77">
      <w:pPr>
        <w:pStyle w:val="5"/>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（二）采购需求中标注“★”条款承诺</w:t>
      </w:r>
    </w:p>
    <w:p w14:paraId="03C0A841">
      <w:pPr>
        <w:spacing w:line="480" w:lineRule="auto"/>
        <w:ind w:firstLine="480" w:firstLineChars="20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（此章节格式自拟）</w:t>
      </w:r>
    </w:p>
    <w:p w14:paraId="1CB3348C">
      <w:pPr>
        <w:spacing w:line="480" w:lineRule="auto"/>
        <w:ind w:firstLine="562" w:firstLineChars="200"/>
        <w:jc w:val="left"/>
        <w:rPr>
          <w:rFonts w:hint="eastAsia" w:ascii="宋体" w:hAnsi="宋体" w:eastAsia="宋体" w:cs="宋体"/>
          <w:bCs/>
          <w:color w:val="auto"/>
          <w:sz w:val="24"/>
          <w:highlight w:val="none"/>
        </w:rPr>
      </w:pPr>
      <w:r>
        <w:rPr>
          <w:rFonts w:hint="eastAsia" w:ascii="宋体" w:hAnsi="宋体" w:eastAsia="宋体" w:cs="宋体"/>
          <w:b/>
          <w:color w:val="auto"/>
          <w:kern w:val="0"/>
          <w:sz w:val="28"/>
          <w:szCs w:val="28"/>
          <w:highlight w:val="none"/>
        </w:rPr>
        <w:br w:type="page"/>
      </w:r>
    </w:p>
    <w:bookmarkEnd w:id="369"/>
    <w:bookmarkEnd w:id="370"/>
    <w:p w14:paraId="009FDCB9">
      <w:pPr>
        <w:pStyle w:val="5"/>
        <w:jc w:val="center"/>
        <w:rPr>
          <w:rFonts w:hint="eastAsia" w:ascii="宋体" w:hAnsi="宋体" w:eastAsia="宋体" w:cs="宋体"/>
          <w:bCs/>
          <w:color w:val="auto"/>
          <w:sz w:val="24"/>
          <w:szCs w:val="24"/>
          <w:highlight w:val="none"/>
        </w:rPr>
      </w:pPr>
      <w:bookmarkStart w:id="372" w:name="_Toc24569"/>
      <w:bookmarkStart w:id="373" w:name="_Toc21668"/>
      <w:bookmarkStart w:id="374" w:name="_Toc1908"/>
      <w:bookmarkStart w:id="375" w:name="_Toc12960"/>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三</w:t>
      </w:r>
      <w:r>
        <w:rPr>
          <w:rFonts w:hint="eastAsia" w:ascii="宋体" w:hAnsi="宋体" w:eastAsia="宋体" w:cs="宋体"/>
          <w:color w:val="auto"/>
          <w:szCs w:val="28"/>
          <w:highlight w:val="none"/>
        </w:rPr>
        <w:t>）类似项目业绩表</w:t>
      </w:r>
      <w:bookmarkEnd w:id="371"/>
      <w:bookmarkEnd w:id="372"/>
      <w:bookmarkEnd w:id="373"/>
      <w:bookmarkEnd w:id="374"/>
      <w:bookmarkEnd w:id="375"/>
    </w:p>
    <w:tbl>
      <w:tblPr>
        <w:tblStyle w:val="4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2036"/>
        <w:gridCol w:w="1215"/>
        <w:gridCol w:w="1705"/>
        <w:gridCol w:w="1321"/>
        <w:gridCol w:w="1396"/>
        <w:gridCol w:w="1018"/>
      </w:tblGrid>
      <w:tr w14:paraId="0C7AD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5" w:hRule="atLeast"/>
          <w:jc w:val="center"/>
        </w:trPr>
        <w:tc>
          <w:tcPr>
            <w:tcW w:w="948" w:type="dxa"/>
            <w:vAlign w:val="center"/>
          </w:tcPr>
          <w:p w14:paraId="51D182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2036" w:type="dxa"/>
            <w:vAlign w:val="center"/>
          </w:tcPr>
          <w:p w14:paraId="6A72E71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tc>
        <w:tc>
          <w:tcPr>
            <w:tcW w:w="1215" w:type="dxa"/>
            <w:vAlign w:val="center"/>
          </w:tcPr>
          <w:p w14:paraId="637962E9">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705" w:type="dxa"/>
            <w:vAlign w:val="center"/>
          </w:tcPr>
          <w:p w14:paraId="4F8447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采购单位</w:t>
            </w:r>
          </w:p>
        </w:tc>
        <w:tc>
          <w:tcPr>
            <w:tcW w:w="1321" w:type="dxa"/>
          </w:tcPr>
          <w:p w14:paraId="65E085E6">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联系人及联系电话</w:t>
            </w:r>
          </w:p>
        </w:tc>
        <w:tc>
          <w:tcPr>
            <w:tcW w:w="1396" w:type="dxa"/>
            <w:vAlign w:val="center"/>
          </w:tcPr>
          <w:p w14:paraId="2C9E093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合同签订时间</w:t>
            </w:r>
          </w:p>
        </w:tc>
        <w:tc>
          <w:tcPr>
            <w:tcW w:w="1018" w:type="dxa"/>
            <w:vAlign w:val="center"/>
          </w:tcPr>
          <w:p w14:paraId="385E0B2A">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备注</w:t>
            </w:r>
          </w:p>
        </w:tc>
      </w:tr>
      <w:tr w14:paraId="4FAFF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073DD89E">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w:t>
            </w:r>
          </w:p>
        </w:tc>
        <w:tc>
          <w:tcPr>
            <w:tcW w:w="2036" w:type="dxa"/>
            <w:vAlign w:val="center"/>
          </w:tcPr>
          <w:p w14:paraId="2F9FD875">
            <w:pPr>
              <w:jc w:val="center"/>
              <w:rPr>
                <w:rFonts w:hint="eastAsia" w:ascii="宋体" w:hAnsi="宋体" w:eastAsia="宋体" w:cs="宋体"/>
                <w:bCs/>
                <w:color w:val="auto"/>
                <w:sz w:val="24"/>
                <w:highlight w:val="none"/>
              </w:rPr>
            </w:pPr>
          </w:p>
        </w:tc>
        <w:tc>
          <w:tcPr>
            <w:tcW w:w="1215" w:type="dxa"/>
            <w:vAlign w:val="center"/>
          </w:tcPr>
          <w:p w14:paraId="4E86781B">
            <w:pPr>
              <w:jc w:val="center"/>
              <w:rPr>
                <w:rFonts w:hint="eastAsia" w:ascii="宋体" w:hAnsi="宋体" w:eastAsia="宋体" w:cs="宋体"/>
                <w:bCs/>
                <w:color w:val="auto"/>
                <w:sz w:val="24"/>
                <w:highlight w:val="none"/>
              </w:rPr>
            </w:pPr>
          </w:p>
        </w:tc>
        <w:tc>
          <w:tcPr>
            <w:tcW w:w="1705" w:type="dxa"/>
            <w:vAlign w:val="center"/>
          </w:tcPr>
          <w:p w14:paraId="772D21B8">
            <w:pPr>
              <w:jc w:val="center"/>
              <w:rPr>
                <w:rFonts w:hint="eastAsia" w:ascii="宋体" w:hAnsi="宋体" w:eastAsia="宋体" w:cs="宋体"/>
                <w:bCs/>
                <w:color w:val="auto"/>
                <w:sz w:val="24"/>
                <w:highlight w:val="none"/>
              </w:rPr>
            </w:pPr>
          </w:p>
        </w:tc>
        <w:tc>
          <w:tcPr>
            <w:tcW w:w="1321" w:type="dxa"/>
          </w:tcPr>
          <w:p w14:paraId="4F893460">
            <w:pPr>
              <w:jc w:val="center"/>
              <w:rPr>
                <w:rFonts w:hint="eastAsia" w:ascii="宋体" w:hAnsi="宋体" w:eastAsia="宋体" w:cs="宋体"/>
                <w:bCs/>
                <w:color w:val="auto"/>
                <w:sz w:val="24"/>
                <w:highlight w:val="none"/>
              </w:rPr>
            </w:pPr>
          </w:p>
        </w:tc>
        <w:tc>
          <w:tcPr>
            <w:tcW w:w="1396" w:type="dxa"/>
            <w:vAlign w:val="center"/>
          </w:tcPr>
          <w:p w14:paraId="204CC219">
            <w:pPr>
              <w:jc w:val="center"/>
              <w:rPr>
                <w:rFonts w:hint="eastAsia" w:ascii="宋体" w:hAnsi="宋体" w:eastAsia="宋体" w:cs="宋体"/>
                <w:bCs/>
                <w:color w:val="auto"/>
                <w:sz w:val="24"/>
                <w:highlight w:val="none"/>
              </w:rPr>
            </w:pPr>
          </w:p>
        </w:tc>
        <w:tc>
          <w:tcPr>
            <w:tcW w:w="1018" w:type="dxa"/>
            <w:vAlign w:val="center"/>
          </w:tcPr>
          <w:p w14:paraId="4FE10F80">
            <w:pPr>
              <w:jc w:val="center"/>
              <w:rPr>
                <w:rFonts w:hint="eastAsia" w:ascii="宋体" w:hAnsi="宋体" w:eastAsia="宋体" w:cs="宋体"/>
                <w:bCs/>
                <w:color w:val="auto"/>
                <w:sz w:val="24"/>
                <w:highlight w:val="none"/>
              </w:rPr>
            </w:pPr>
          </w:p>
        </w:tc>
      </w:tr>
      <w:tr w14:paraId="38526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755721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w:t>
            </w:r>
          </w:p>
        </w:tc>
        <w:tc>
          <w:tcPr>
            <w:tcW w:w="2036" w:type="dxa"/>
            <w:vAlign w:val="center"/>
          </w:tcPr>
          <w:p w14:paraId="20DDC432">
            <w:pPr>
              <w:jc w:val="center"/>
              <w:rPr>
                <w:rFonts w:hint="eastAsia" w:ascii="宋体" w:hAnsi="宋体" w:eastAsia="宋体" w:cs="宋体"/>
                <w:bCs/>
                <w:color w:val="auto"/>
                <w:sz w:val="24"/>
                <w:highlight w:val="none"/>
              </w:rPr>
            </w:pPr>
          </w:p>
        </w:tc>
        <w:tc>
          <w:tcPr>
            <w:tcW w:w="1215" w:type="dxa"/>
            <w:vAlign w:val="center"/>
          </w:tcPr>
          <w:p w14:paraId="770DC516">
            <w:pPr>
              <w:jc w:val="center"/>
              <w:rPr>
                <w:rFonts w:hint="eastAsia" w:ascii="宋体" w:hAnsi="宋体" w:eastAsia="宋体" w:cs="宋体"/>
                <w:bCs/>
                <w:color w:val="auto"/>
                <w:sz w:val="24"/>
                <w:highlight w:val="none"/>
              </w:rPr>
            </w:pPr>
          </w:p>
        </w:tc>
        <w:tc>
          <w:tcPr>
            <w:tcW w:w="1705" w:type="dxa"/>
            <w:vAlign w:val="center"/>
          </w:tcPr>
          <w:p w14:paraId="6C02F9AB">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tc>
        <w:tc>
          <w:tcPr>
            <w:tcW w:w="1321" w:type="dxa"/>
          </w:tcPr>
          <w:p w14:paraId="73FB4D84">
            <w:pPr>
              <w:jc w:val="center"/>
              <w:rPr>
                <w:rFonts w:hint="eastAsia" w:ascii="宋体" w:hAnsi="宋体" w:eastAsia="宋体" w:cs="宋体"/>
                <w:bCs/>
                <w:color w:val="auto"/>
                <w:sz w:val="24"/>
                <w:highlight w:val="none"/>
              </w:rPr>
            </w:pPr>
          </w:p>
        </w:tc>
        <w:tc>
          <w:tcPr>
            <w:tcW w:w="1396" w:type="dxa"/>
            <w:vAlign w:val="center"/>
          </w:tcPr>
          <w:p w14:paraId="0A475535">
            <w:pPr>
              <w:jc w:val="center"/>
              <w:rPr>
                <w:rFonts w:hint="eastAsia" w:ascii="宋体" w:hAnsi="宋体" w:eastAsia="宋体" w:cs="宋体"/>
                <w:bCs/>
                <w:color w:val="auto"/>
                <w:sz w:val="24"/>
                <w:highlight w:val="none"/>
              </w:rPr>
            </w:pPr>
          </w:p>
        </w:tc>
        <w:tc>
          <w:tcPr>
            <w:tcW w:w="1018" w:type="dxa"/>
            <w:vAlign w:val="center"/>
          </w:tcPr>
          <w:p w14:paraId="725BFD2A">
            <w:pPr>
              <w:jc w:val="center"/>
              <w:rPr>
                <w:rFonts w:hint="eastAsia" w:ascii="宋体" w:hAnsi="宋体" w:eastAsia="宋体" w:cs="宋体"/>
                <w:bCs/>
                <w:color w:val="auto"/>
                <w:sz w:val="24"/>
                <w:highlight w:val="none"/>
              </w:rPr>
            </w:pPr>
          </w:p>
        </w:tc>
      </w:tr>
      <w:tr w14:paraId="1C918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279A6331">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p>
        </w:tc>
        <w:tc>
          <w:tcPr>
            <w:tcW w:w="2036" w:type="dxa"/>
            <w:vAlign w:val="center"/>
          </w:tcPr>
          <w:p w14:paraId="20067F5F">
            <w:pPr>
              <w:jc w:val="center"/>
              <w:rPr>
                <w:rFonts w:hint="eastAsia" w:ascii="宋体" w:hAnsi="宋体" w:eastAsia="宋体" w:cs="宋体"/>
                <w:bCs/>
                <w:color w:val="auto"/>
                <w:sz w:val="24"/>
                <w:highlight w:val="none"/>
              </w:rPr>
            </w:pPr>
          </w:p>
        </w:tc>
        <w:tc>
          <w:tcPr>
            <w:tcW w:w="1215" w:type="dxa"/>
            <w:vAlign w:val="center"/>
          </w:tcPr>
          <w:p w14:paraId="07E71FD7">
            <w:pPr>
              <w:jc w:val="center"/>
              <w:rPr>
                <w:rFonts w:hint="eastAsia" w:ascii="宋体" w:hAnsi="宋体" w:eastAsia="宋体" w:cs="宋体"/>
                <w:bCs/>
                <w:color w:val="auto"/>
                <w:sz w:val="24"/>
                <w:highlight w:val="none"/>
              </w:rPr>
            </w:pPr>
          </w:p>
        </w:tc>
        <w:tc>
          <w:tcPr>
            <w:tcW w:w="1705" w:type="dxa"/>
            <w:vAlign w:val="center"/>
          </w:tcPr>
          <w:p w14:paraId="67668CDD">
            <w:pPr>
              <w:jc w:val="center"/>
              <w:rPr>
                <w:rFonts w:hint="eastAsia" w:ascii="宋体" w:hAnsi="宋体" w:eastAsia="宋体" w:cs="宋体"/>
                <w:bCs/>
                <w:color w:val="auto"/>
                <w:sz w:val="24"/>
                <w:highlight w:val="none"/>
              </w:rPr>
            </w:pPr>
          </w:p>
        </w:tc>
        <w:tc>
          <w:tcPr>
            <w:tcW w:w="1321" w:type="dxa"/>
          </w:tcPr>
          <w:p w14:paraId="6BC8F59B">
            <w:pPr>
              <w:jc w:val="center"/>
              <w:rPr>
                <w:rFonts w:hint="eastAsia" w:ascii="宋体" w:hAnsi="宋体" w:eastAsia="宋体" w:cs="宋体"/>
                <w:bCs/>
                <w:color w:val="auto"/>
                <w:sz w:val="24"/>
                <w:highlight w:val="none"/>
              </w:rPr>
            </w:pPr>
          </w:p>
        </w:tc>
        <w:tc>
          <w:tcPr>
            <w:tcW w:w="1396" w:type="dxa"/>
            <w:vAlign w:val="center"/>
          </w:tcPr>
          <w:p w14:paraId="4C57F190">
            <w:pPr>
              <w:jc w:val="center"/>
              <w:rPr>
                <w:rFonts w:hint="eastAsia" w:ascii="宋体" w:hAnsi="宋体" w:eastAsia="宋体" w:cs="宋体"/>
                <w:bCs/>
                <w:color w:val="auto"/>
                <w:sz w:val="24"/>
                <w:highlight w:val="none"/>
              </w:rPr>
            </w:pPr>
          </w:p>
        </w:tc>
        <w:tc>
          <w:tcPr>
            <w:tcW w:w="1018" w:type="dxa"/>
            <w:vAlign w:val="center"/>
          </w:tcPr>
          <w:p w14:paraId="2EDF5CB3">
            <w:pPr>
              <w:jc w:val="center"/>
              <w:rPr>
                <w:rFonts w:hint="eastAsia" w:ascii="宋体" w:hAnsi="宋体" w:eastAsia="宋体" w:cs="宋体"/>
                <w:bCs/>
                <w:color w:val="auto"/>
                <w:sz w:val="24"/>
                <w:highlight w:val="none"/>
              </w:rPr>
            </w:pPr>
          </w:p>
        </w:tc>
      </w:tr>
      <w:tr w14:paraId="18104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3885720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w:t>
            </w:r>
          </w:p>
        </w:tc>
        <w:tc>
          <w:tcPr>
            <w:tcW w:w="2036" w:type="dxa"/>
            <w:vAlign w:val="center"/>
          </w:tcPr>
          <w:p w14:paraId="5C5DFE00">
            <w:pPr>
              <w:jc w:val="center"/>
              <w:rPr>
                <w:rFonts w:hint="eastAsia" w:ascii="宋体" w:hAnsi="宋体" w:eastAsia="宋体" w:cs="宋体"/>
                <w:bCs/>
                <w:color w:val="auto"/>
                <w:sz w:val="24"/>
                <w:highlight w:val="none"/>
              </w:rPr>
            </w:pPr>
          </w:p>
        </w:tc>
        <w:tc>
          <w:tcPr>
            <w:tcW w:w="1215" w:type="dxa"/>
            <w:vAlign w:val="center"/>
          </w:tcPr>
          <w:p w14:paraId="3CFA63C9">
            <w:pPr>
              <w:jc w:val="center"/>
              <w:rPr>
                <w:rFonts w:hint="eastAsia" w:ascii="宋体" w:hAnsi="宋体" w:eastAsia="宋体" w:cs="宋体"/>
                <w:bCs/>
                <w:color w:val="auto"/>
                <w:sz w:val="24"/>
                <w:highlight w:val="none"/>
              </w:rPr>
            </w:pPr>
          </w:p>
        </w:tc>
        <w:tc>
          <w:tcPr>
            <w:tcW w:w="1705" w:type="dxa"/>
            <w:vAlign w:val="center"/>
          </w:tcPr>
          <w:p w14:paraId="55DA95C6">
            <w:pPr>
              <w:jc w:val="center"/>
              <w:rPr>
                <w:rFonts w:hint="eastAsia" w:ascii="宋体" w:hAnsi="宋体" w:eastAsia="宋体" w:cs="宋体"/>
                <w:bCs/>
                <w:color w:val="auto"/>
                <w:sz w:val="24"/>
                <w:highlight w:val="none"/>
              </w:rPr>
            </w:pPr>
          </w:p>
        </w:tc>
        <w:tc>
          <w:tcPr>
            <w:tcW w:w="1321" w:type="dxa"/>
          </w:tcPr>
          <w:p w14:paraId="398062EF">
            <w:pPr>
              <w:jc w:val="center"/>
              <w:rPr>
                <w:rFonts w:hint="eastAsia" w:ascii="宋体" w:hAnsi="宋体" w:eastAsia="宋体" w:cs="宋体"/>
                <w:bCs/>
                <w:color w:val="auto"/>
                <w:sz w:val="24"/>
                <w:highlight w:val="none"/>
              </w:rPr>
            </w:pPr>
          </w:p>
        </w:tc>
        <w:tc>
          <w:tcPr>
            <w:tcW w:w="1396" w:type="dxa"/>
            <w:vAlign w:val="center"/>
          </w:tcPr>
          <w:p w14:paraId="49E51FDC">
            <w:pPr>
              <w:jc w:val="center"/>
              <w:rPr>
                <w:rFonts w:hint="eastAsia" w:ascii="宋体" w:hAnsi="宋体" w:eastAsia="宋体" w:cs="宋体"/>
                <w:bCs/>
                <w:color w:val="auto"/>
                <w:sz w:val="24"/>
                <w:highlight w:val="none"/>
              </w:rPr>
            </w:pPr>
          </w:p>
        </w:tc>
        <w:tc>
          <w:tcPr>
            <w:tcW w:w="1018" w:type="dxa"/>
            <w:vAlign w:val="center"/>
          </w:tcPr>
          <w:p w14:paraId="389287E9">
            <w:pPr>
              <w:jc w:val="center"/>
              <w:rPr>
                <w:rFonts w:hint="eastAsia" w:ascii="宋体" w:hAnsi="宋体" w:eastAsia="宋体" w:cs="宋体"/>
                <w:bCs/>
                <w:color w:val="auto"/>
                <w:sz w:val="24"/>
                <w:highlight w:val="none"/>
              </w:rPr>
            </w:pPr>
          </w:p>
        </w:tc>
      </w:tr>
      <w:tr w14:paraId="0C1EB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55F3D23D">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w:t>
            </w:r>
          </w:p>
        </w:tc>
        <w:tc>
          <w:tcPr>
            <w:tcW w:w="2036" w:type="dxa"/>
            <w:vAlign w:val="center"/>
          </w:tcPr>
          <w:p w14:paraId="16C6780A">
            <w:pPr>
              <w:jc w:val="center"/>
              <w:rPr>
                <w:rFonts w:hint="eastAsia" w:ascii="宋体" w:hAnsi="宋体" w:eastAsia="宋体" w:cs="宋体"/>
                <w:bCs/>
                <w:color w:val="auto"/>
                <w:sz w:val="24"/>
                <w:highlight w:val="none"/>
              </w:rPr>
            </w:pPr>
          </w:p>
        </w:tc>
        <w:tc>
          <w:tcPr>
            <w:tcW w:w="1215" w:type="dxa"/>
            <w:vAlign w:val="center"/>
          </w:tcPr>
          <w:p w14:paraId="0B9B4D2E">
            <w:pPr>
              <w:jc w:val="center"/>
              <w:rPr>
                <w:rFonts w:hint="eastAsia" w:ascii="宋体" w:hAnsi="宋体" w:eastAsia="宋体" w:cs="宋体"/>
                <w:bCs/>
                <w:color w:val="auto"/>
                <w:sz w:val="24"/>
                <w:highlight w:val="none"/>
              </w:rPr>
            </w:pPr>
          </w:p>
        </w:tc>
        <w:tc>
          <w:tcPr>
            <w:tcW w:w="1705" w:type="dxa"/>
            <w:vAlign w:val="center"/>
          </w:tcPr>
          <w:p w14:paraId="0052433C">
            <w:pPr>
              <w:jc w:val="center"/>
              <w:rPr>
                <w:rFonts w:hint="eastAsia" w:ascii="宋体" w:hAnsi="宋体" w:eastAsia="宋体" w:cs="宋体"/>
                <w:bCs/>
                <w:color w:val="auto"/>
                <w:sz w:val="24"/>
                <w:highlight w:val="none"/>
              </w:rPr>
            </w:pPr>
          </w:p>
        </w:tc>
        <w:tc>
          <w:tcPr>
            <w:tcW w:w="1321" w:type="dxa"/>
          </w:tcPr>
          <w:p w14:paraId="6095374F">
            <w:pPr>
              <w:jc w:val="center"/>
              <w:rPr>
                <w:rFonts w:hint="eastAsia" w:ascii="宋体" w:hAnsi="宋体" w:eastAsia="宋体" w:cs="宋体"/>
                <w:bCs/>
                <w:color w:val="auto"/>
                <w:sz w:val="24"/>
                <w:highlight w:val="none"/>
              </w:rPr>
            </w:pPr>
          </w:p>
        </w:tc>
        <w:tc>
          <w:tcPr>
            <w:tcW w:w="1396" w:type="dxa"/>
            <w:vAlign w:val="center"/>
          </w:tcPr>
          <w:p w14:paraId="511F39D9">
            <w:pPr>
              <w:jc w:val="center"/>
              <w:rPr>
                <w:rFonts w:hint="eastAsia" w:ascii="宋体" w:hAnsi="宋体" w:eastAsia="宋体" w:cs="宋体"/>
                <w:bCs/>
                <w:color w:val="auto"/>
                <w:sz w:val="24"/>
                <w:highlight w:val="none"/>
              </w:rPr>
            </w:pPr>
          </w:p>
        </w:tc>
        <w:tc>
          <w:tcPr>
            <w:tcW w:w="1018" w:type="dxa"/>
            <w:vAlign w:val="center"/>
          </w:tcPr>
          <w:p w14:paraId="18301BFC">
            <w:pPr>
              <w:jc w:val="center"/>
              <w:rPr>
                <w:rFonts w:hint="eastAsia" w:ascii="宋体" w:hAnsi="宋体" w:eastAsia="宋体" w:cs="宋体"/>
                <w:bCs/>
                <w:color w:val="auto"/>
                <w:sz w:val="24"/>
                <w:highlight w:val="none"/>
              </w:rPr>
            </w:pPr>
          </w:p>
        </w:tc>
      </w:tr>
      <w:tr w14:paraId="0B303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1C5E482">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w:t>
            </w:r>
          </w:p>
        </w:tc>
        <w:tc>
          <w:tcPr>
            <w:tcW w:w="2036" w:type="dxa"/>
            <w:vAlign w:val="center"/>
          </w:tcPr>
          <w:p w14:paraId="0B8E8627">
            <w:pPr>
              <w:jc w:val="center"/>
              <w:rPr>
                <w:rFonts w:hint="eastAsia" w:ascii="宋体" w:hAnsi="宋体" w:eastAsia="宋体" w:cs="宋体"/>
                <w:bCs/>
                <w:color w:val="auto"/>
                <w:sz w:val="24"/>
                <w:highlight w:val="none"/>
              </w:rPr>
            </w:pPr>
          </w:p>
        </w:tc>
        <w:tc>
          <w:tcPr>
            <w:tcW w:w="1215" w:type="dxa"/>
            <w:vAlign w:val="center"/>
          </w:tcPr>
          <w:p w14:paraId="3C34CB16">
            <w:pPr>
              <w:jc w:val="center"/>
              <w:rPr>
                <w:rFonts w:hint="eastAsia" w:ascii="宋体" w:hAnsi="宋体" w:eastAsia="宋体" w:cs="宋体"/>
                <w:bCs/>
                <w:color w:val="auto"/>
                <w:sz w:val="24"/>
                <w:highlight w:val="none"/>
              </w:rPr>
            </w:pPr>
          </w:p>
        </w:tc>
        <w:tc>
          <w:tcPr>
            <w:tcW w:w="1705" w:type="dxa"/>
            <w:vAlign w:val="center"/>
          </w:tcPr>
          <w:p w14:paraId="6DBD7678">
            <w:pPr>
              <w:jc w:val="center"/>
              <w:rPr>
                <w:rFonts w:hint="eastAsia" w:ascii="宋体" w:hAnsi="宋体" w:eastAsia="宋体" w:cs="宋体"/>
                <w:bCs/>
                <w:color w:val="auto"/>
                <w:sz w:val="24"/>
                <w:highlight w:val="none"/>
              </w:rPr>
            </w:pPr>
          </w:p>
        </w:tc>
        <w:tc>
          <w:tcPr>
            <w:tcW w:w="1321" w:type="dxa"/>
          </w:tcPr>
          <w:p w14:paraId="3B2CD4BB">
            <w:pPr>
              <w:jc w:val="center"/>
              <w:rPr>
                <w:rFonts w:hint="eastAsia" w:ascii="宋体" w:hAnsi="宋体" w:eastAsia="宋体" w:cs="宋体"/>
                <w:bCs/>
                <w:color w:val="auto"/>
                <w:sz w:val="24"/>
                <w:highlight w:val="none"/>
              </w:rPr>
            </w:pPr>
          </w:p>
        </w:tc>
        <w:tc>
          <w:tcPr>
            <w:tcW w:w="1396" w:type="dxa"/>
            <w:vAlign w:val="center"/>
          </w:tcPr>
          <w:p w14:paraId="563BBAF9">
            <w:pPr>
              <w:jc w:val="center"/>
              <w:rPr>
                <w:rFonts w:hint="eastAsia" w:ascii="宋体" w:hAnsi="宋体" w:eastAsia="宋体" w:cs="宋体"/>
                <w:bCs/>
                <w:color w:val="auto"/>
                <w:sz w:val="24"/>
                <w:highlight w:val="none"/>
              </w:rPr>
            </w:pPr>
          </w:p>
        </w:tc>
        <w:tc>
          <w:tcPr>
            <w:tcW w:w="1018" w:type="dxa"/>
            <w:vAlign w:val="center"/>
          </w:tcPr>
          <w:p w14:paraId="765DDB77">
            <w:pPr>
              <w:jc w:val="center"/>
              <w:rPr>
                <w:rFonts w:hint="eastAsia" w:ascii="宋体" w:hAnsi="宋体" w:eastAsia="宋体" w:cs="宋体"/>
                <w:bCs/>
                <w:color w:val="auto"/>
                <w:sz w:val="24"/>
                <w:highlight w:val="none"/>
              </w:rPr>
            </w:pPr>
          </w:p>
        </w:tc>
      </w:tr>
    </w:tbl>
    <w:p w14:paraId="35CA02E4">
      <w:pPr>
        <w:spacing w:line="360" w:lineRule="auto"/>
        <w:rPr>
          <w:rFonts w:hint="eastAsia" w:ascii="宋体" w:hAnsi="宋体" w:eastAsia="宋体" w:cs="宋体"/>
          <w:b/>
          <w:bCs/>
          <w:color w:val="auto"/>
          <w:sz w:val="24"/>
          <w:highlight w:val="none"/>
        </w:rPr>
      </w:pPr>
      <w:r>
        <w:rPr>
          <w:rFonts w:hint="eastAsia" w:ascii="宋体" w:hAnsi="宋体" w:eastAsia="宋体" w:cs="宋体"/>
          <w:b/>
          <w:color w:val="auto"/>
          <w:spacing w:val="10"/>
          <w:kern w:val="0"/>
          <w:sz w:val="24"/>
          <w:highlight w:val="none"/>
        </w:rPr>
        <w:t>注：提供20</w:t>
      </w:r>
      <w:r>
        <w:rPr>
          <w:rFonts w:hint="eastAsia" w:ascii="宋体" w:hAnsi="宋体" w:eastAsia="宋体" w:cs="宋体"/>
          <w:b/>
          <w:color w:val="auto"/>
          <w:spacing w:val="10"/>
          <w:kern w:val="0"/>
          <w:sz w:val="24"/>
          <w:highlight w:val="none"/>
          <w:lang w:val="en-US" w:eastAsia="zh-CN"/>
        </w:rPr>
        <w:t>23</w:t>
      </w:r>
      <w:r>
        <w:rPr>
          <w:rFonts w:hint="eastAsia" w:ascii="宋体" w:hAnsi="宋体" w:eastAsia="宋体" w:cs="宋体"/>
          <w:b/>
          <w:color w:val="auto"/>
          <w:spacing w:val="10"/>
          <w:kern w:val="0"/>
          <w:sz w:val="24"/>
          <w:highlight w:val="none"/>
        </w:rPr>
        <w:t>年</w:t>
      </w:r>
      <w:r>
        <w:rPr>
          <w:rFonts w:hint="eastAsia" w:ascii="宋体" w:hAnsi="宋体" w:eastAsia="宋体" w:cs="宋体"/>
          <w:b/>
          <w:color w:val="auto"/>
          <w:spacing w:val="10"/>
          <w:kern w:val="0"/>
          <w:sz w:val="24"/>
          <w:highlight w:val="none"/>
          <w:lang w:val="en-US" w:eastAsia="zh-CN"/>
        </w:rPr>
        <w:t>1月1日</w:t>
      </w:r>
      <w:r>
        <w:rPr>
          <w:rFonts w:hint="eastAsia" w:ascii="宋体" w:hAnsi="宋体" w:eastAsia="宋体" w:cs="宋体"/>
          <w:b/>
          <w:color w:val="auto"/>
          <w:spacing w:val="10"/>
          <w:kern w:val="0"/>
          <w:sz w:val="24"/>
          <w:highlight w:val="none"/>
        </w:rPr>
        <w:t>至</w:t>
      </w:r>
      <w:r>
        <w:rPr>
          <w:rFonts w:hint="eastAsia" w:ascii="宋体" w:hAnsi="宋体" w:eastAsia="宋体" w:cs="宋体"/>
          <w:b/>
          <w:color w:val="auto"/>
          <w:spacing w:val="10"/>
          <w:kern w:val="0"/>
          <w:sz w:val="24"/>
          <w:highlight w:val="none"/>
          <w:lang w:eastAsia="zh-CN"/>
        </w:rPr>
        <w:t>投标文件</w:t>
      </w:r>
      <w:r>
        <w:rPr>
          <w:rFonts w:hint="eastAsia" w:ascii="宋体" w:hAnsi="宋体" w:eastAsia="宋体" w:cs="宋体"/>
          <w:b/>
          <w:color w:val="auto"/>
          <w:spacing w:val="10"/>
          <w:kern w:val="0"/>
          <w:sz w:val="24"/>
          <w:highlight w:val="none"/>
        </w:rPr>
        <w:t>提交截止时间前已完成或正在实施过程中的类似</w:t>
      </w:r>
      <w:r>
        <w:rPr>
          <w:rFonts w:hint="eastAsia" w:ascii="宋体" w:hAnsi="宋体" w:eastAsia="宋体" w:cs="宋体"/>
          <w:b/>
          <w:color w:val="auto"/>
          <w:spacing w:val="10"/>
          <w:kern w:val="0"/>
          <w:sz w:val="24"/>
          <w:highlight w:val="none"/>
          <w:lang w:val="en-US" w:eastAsia="zh-CN"/>
        </w:rPr>
        <w:t>业绩的</w:t>
      </w:r>
      <w:r>
        <w:rPr>
          <w:rFonts w:hint="eastAsia" w:ascii="宋体" w:hAnsi="宋体" w:eastAsia="宋体" w:cs="宋体"/>
          <w:b/>
          <w:color w:val="auto"/>
          <w:spacing w:val="10"/>
          <w:kern w:val="0"/>
          <w:sz w:val="24"/>
          <w:highlight w:val="none"/>
        </w:rPr>
        <w:t>合同或中标/成交通知书</w:t>
      </w:r>
      <w:r>
        <w:rPr>
          <w:rFonts w:hint="eastAsia" w:ascii="宋体" w:hAnsi="宋体" w:eastAsia="宋体" w:cs="宋体"/>
          <w:b/>
          <w:color w:val="auto"/>
          <w:spacing w:val="10"/>
          <w:kern w:val="0"/>
          <w:sz w:val="24"/>
          <w:highlight w:val="none"/>
          <w:lang w:val="en-US" w:eastAsia="zh-CN"/>
        </w:rPr>
        <w:t>扫描件</w:t>
      </w:r>
      <w:r>
        <w:rPr>
          <w:rFonts w:hint="eastAsia" w:ascii="宋体" w:hAnsi="宋体" w:eastAsia="宋体" w:cs="宋体"/>
          <w:b/>
          <w:color w:val="auto"/>
          <w:spacing w:val="10"/>
          <w:kern w:val="0"/>
          <w:sz w:val="24"/>
          <w:highlight w:val="none"/>
        </w:rPr>
        <w:t>等证明材料。</w:t>
      </w:r>
    </w:p>
    <w:p w14:paraId="16DCE03A">
      <w:pPr>
        <w:ind w:firstLine="1205" w:firstLineChars="500"/>
        <w:rPr>
          <w:rFonts w:hint="eastAsia" w:ascii="宋体" w:hAnsi="宋体" w:eastAsia="宋体" w:cs="宋体"/>
          <w:b/>
          <w:bCs/>
          <w:color w:val="auto"/>
          <w:sz w:val="24"/>
          <w:highlight w:val="none"/>
        </w:rPr>
      </w:pPr>
    </w:p>
    <w:p w14:paraId="7162DBDA">
      <w:pPr>
        <w:ind w:firstLine="1205" w:firstLineChars="500"/>
        <w:rPr>
          <w:rFonts w:hint="eastAsia" w:ascii="宋体" w:hAnsi="宋体" w:eastAsia="宋体" w:cs="宋体"/>
          <w:b/>
          <w:bCs/>
          <w:color w:val="auto"/>
          <w:sz w:val="24"/>
          <w:highlight w:val="none"/>
        </w:rPr>
      </w:pPr>
    </w:p>
    <w:p w14:paraId="5ACBFDEA">
      <w:pPr>
        <w:ind w:firstLine="1205" w:firstLineChars="500"/>
        <w:rPr>
          <w:rFonts w:hint="eastAsia" w:ascii="宋体" w:hAnsi="宋体" w:eastAsia="宋体" w:cs="宋体"/>
          <w:b/>
          <w:bCs/>
          <w:color w:val="auto"/>
          <w:sz w:val="24"/>
          <w:highlight w:val="none"/>
        </w:rPr>
      </w:pPr>
    </w:p>
    <w:p w14:paraId="1E4601F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DB35A5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221E880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D039D13">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br w:type="page"/>
      </w:r>
    </w:p>
    <w:p w14:paraId="19F2AC3F">
      <w:pPr>
        <w:pStyle w:val="5"/>
        <w:jc w:val="center"/>
        <w:rPr>
          <w:rFonts w:hint="eastAsia" w:ascii="宋体" w:hAnsi="宋体" w:eastAsia="宋体" w:cs="宋体"/>
          <w:color w:val="auto"/>
          <w:kern w:val="2"/>
          <w:sz w:val="24"/>
          <w:szCs w:val="24"/>
          <w:highlight w:val="none"/>
        </w:rPr>
      </w:pP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四</w:t>
      </w:r>
      <w:r>
        <w:rPr>
          <w:rFonts w:hint="eastAsia" w:ascii="宋体" w:hAnsi="宋体" w:eastAsia="宋体" w:cs="宋体"/>
          <w:color w:val="auto"/>
          <w:szCs w:val="28"/>
          <w:highlight w:val="none"/>
        </w:rPr>
        <w:t>）</w:t>
      </w:r>
      <w:r>
        <w:rPr>
          <w:rFonts w:hint="eastAsia" w:ascii="宋体" w:hAnsi="宋体" w:eastAsia="宋体" w:cs="宋体"/>
          <w:b/>
          <w:color w:val="auto"/>
          <w:spacing w:val="0"/>
          <w:kern w:val="0"/>
          <w:sz w:val="28"/>
          <w:szCs w:val="28"/>
          <w:highlight w:val="none"/>
          <w:lang w:val="en-US" w:eastAsia="zh-CN" w:bidi="ar-SA"/>
        </w:rPr>
        <w:t>拟派团队人员情况表</w:t>
      </w:r>
    </w:p>
    <w:tbl>
      <w:tblPr>
        <w:tblStyle w:val="42"/>
        <w:tblW w:w="104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3"/>
        <w:gridCol w:w="1215"/>
        <w:gridCol w:w="885"/>
        <w:gridCol w:w="1040"/>
        <w:gridCol w:w="2305"/>
        <w:gridCol w:w="1732"/>
        <w:gridCol w:w="2494"/>
      </w:tblGrid>
      <w:tr w14:paraId="7B5CC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04E116D0">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序号</w:t>
            </w:r>
          </w:p>
        </w:tc>
        <w:tc>
          <w:tcPr>
            <w:tcW w:w="1215" w:type="dxa"/>
            <w:tcBorders>
              <w:top w:val="single" w:color="000000" w:sz="4" w:space="0"/>
              <w:left w:val="single" w:color="000000" w:sz="4" w:space="0"/>
              <w:bottom w:val="single" w:color="000000" w:sz="4" w:space="0"/>
              <w:right w:val="single" w:color="000000" w:sz="4" w:space="0"/>
            </w:tcBorders>
            <w:vAlign w:val="center"/>
          </w:tcPr>
          <w:p w14:paraId="665955C5">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姓名</w:t>
            </w:r>
          </w:p>
        </w:tc>
        <w:tc>
          <w:tcPr>
            <w:tcW w:w="885" w:type="dxa"/>
            <w:tcBorders>
              <w:top w:val="single" w:color="000000" w:sz="4" w:space="0"/>
              <w:left w:val="single" w:color="000000" w:sz="4" w:space="0"/>
              <w:bottom w:val="single" w:color="000000" w:sz="4" w:space="0"/>
              <w:right w:val="single" w:color="000000" w:sz="4" w:space="0"/>
            </w:tcBorders>
            <w:vAlign w:val="center"/>
          </w:tcPr>
          <w:p w14:paraId="607323D7">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年龄</w:t>
            </w:r>
          </w:p>
        </w:tc>
        <w:tc>
          <w:tcPr>
            <w:tcW w:w="1040" w:type="dxa"/>
            <w:tcBorders>
              <w:top w:val="single" w:color="000000" w:sz="4" w:space="0"/>
              <w:left w:val="single" w:color="000000" w:sz="4" w:space="0"/>
              <w:bottom w:val="single" w:color="000000" w:sz="4" w:space="0"/>
              <w:right w:val="single" w:color="000000" w:sz="4" w:space="0"/>
            </w:tcBorders>
            <w:vAlign w:val="center"/>
          </w:tcPr>
          <w:p w14:paraId="54C9CCA3">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学历</w:t>
            </w:r>
          </w:p>
        </w:tc>
        <w:tc>
          <w:tcPr>
            <w:tcW w:w="2305" w:type="dxa"/>
            <w:tcBorders>
              <w:top w:val="single" w:color="000000" w:sz="4" w:space="0"/>
              <w:left w:val="single" w:color="000000" w:sz="4" w:space="0"/>
              <w:bottom w:val="single" w:color="000000" w:sz="4" w:space="0"/>
              <w:right w:val="single" w:color="000000" w:sz="4" w:space="0"/>
            </w:tcBorders>
            <w:vAlign w:val="center"/>
          </w:tcPr>
          <w:p w14:paraId="1E57B14C">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执业或从业资格证</w:t>
            </w:r>
          </w:p>
        </w:tc>
        <w:tc>
          <w:tcPr>
            <w:tcW w:w="1732" w:type="dxa"/>
            <w:tcBorders>
              <w:top w:val="single" w:color="000000" w:sz="4" w:space="0"/>
              <w:left w:val="single" w:color="000000" w:sz="4" w:space="0"/>
              <w:bottom w:val="single" w:color="000000" w:sz="4" w:space="0"/>
              <w:right w:val="single" w:color="000000" w:sz="4" w:space="0"/>
            </w:tcBorders>
            <w:vAlign w:val="center"/>
          </w:tcPr>
          <w:p w14:paraId="3F1430BE">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拟担任职务</w:t>
            </w:r>
          </w:p>
        </w:tc>
        <w:tc>
          <w:tcPr>
            <w:tcW w:w="2494" w:type="dxa"/>
            <w:tcBorders>
              <w:top w:val="single" w:color="000000" w:sz="4" w:space="0"/>
              <w:left w:val="single" w:color="000000" w:sz="4" w:space="0"/>
              <w:bottom w:val="single" w:color="000000" w:sz="4" w:space="0"/>
              <w:right w:val="single" w:color="000000" w:sz="4" w:space="0"/>
            </w:tcBorders>
            <w:vAlign w:val="center"/>
          </w:tcPr>
          <w:p w14:paraId="60E34C5C">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经验及承担过的项目</w:t>
            </w:r>
          </w:p>
        </w:tc>
      </w:tr>
      <w:tr w14:paraId="64E17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73BED0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B3D810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2D3D1C9F">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4FAD0B7">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1B2082BD">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792AA5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50087B2F">
            <w:pPr>
              <w:adjustRightInd w:val="0"/>
              <w:snapToGrid w:val="0"/>
              <w:spacing w:line="321" w:lineRule="auto"/>
              <w:jc w:val="center"/>
              <w:rPr>
                <w:rFonts w:hint="eastAsia" w:ascii="宋体" w:hAnsi="宋体" w:eastAsia="宋体" w:cs="宋体"/>
                <w:color w:val="auto"/>
                <w:spacing w:val="6"/>
                <w:sz w:val="24"/>
                <w:highlight w:val="none"/>
              </w:rPr>
            </w:pPr>
          </w:p>
        </w:tc>
      </w:tr>
      <w:tr w14:paraId="3B5F9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C4F867E">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45C8361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EFB2FE7">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70D8F45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32F384C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2366E91">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289C984">
            <w:pPr>
              <w:adjustRightInd w:val="0"/>
              <w:snapToGrid w:val="0"/>
              <w:spacing w:line="321" w:lineRule="auto"/>
              <w:jc w:val="center"/>
              <w:rPr>
                <w:rFonts w:hint="eastAsia" w:ascii="宋体" w:hAnsi="宋体" w:eastAsia="宋体" w:cs="宋体"/>
                <w:color w:val="auto"/>
                <w:spacing w:val="6"/>
                <w:sz w:val="24"/>
                <w:highlight w:val="none"/>
              </w:rPr>
            </w:pPr>
          </w:p>
        </w:tc>
      </w:tr>
      <w:tr w14:paraId="34F4D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390B2E2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FFF814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376EC75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11942862">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A8793A6">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27CF2A4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BF48CD2">
            <w:pPr>
              <w:adjustRightInd w:val="0"/>
              <w:snapToGrid w:val="0"/>
              <w:spacing w:line="321" w:lineRule="auto"/>
              <w:jc w:val="center"/>
              <w:rPr>
                <w:rFonts w:hint="eastAsia" w:ascii="宋体" w:hAnsi="宋体" w:eastAsia="宋体" w:cs="宋体"/>
                <w:color w:val="auto"/>
                <w:spacing w:val="6"/>
                <w:sz w:val="24"/>
                <w:highlight w:val="none"/>
              </w:rPr>
            </w:pPr>
          </w:p>
        </w:tc>
      </w:tr>
      <w:tr w14:paraId="7EF16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2F73D7E7">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F0A826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704208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307FD31">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8DC000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3374CE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3A1CD3AC">
            <w:pPr>
              <w:adjustRightInd w:val="0"/>
              <w:snapToGrid w:val="0"/>
              <w:spacing w:line="321" w:lineRule="auto"/>
              <w:jc w:val="center"/>
              <w:rPr>
                <w:rFonts w:hint="eastAsia" w:ascii="宋体" w:hAnsi="宋体" w:eastAsia="宋体" w:cs="宋体"/>
                <w:color w:val="auto"/>
                <w:spacing w:val="6"/>
                <w:sz w:val="24"/>
                <w:highlight w:val="none"/>
              </w:rPr>
            </w:pPr>
          </w:p>
        </w:tc>
      </w:tr>
      <w:tr w14:paraId="60CD5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719467B8">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52B2FDE">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C97621E">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3C9685D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93649E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685497D0">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D7E89A0">
            <w:pPr>
              <w:adjustRightInd w:val="0"/>
              <w:snapToGrid w:val="0"/>
              <w:spacing w:line="321" w:lineRule="auto"/>
              <w:jc w:val="center"/>
              <w:rPr>
                <w:rFonts w:hint="eastAsia" w:ascii="宋体" w:hAnsi="宋体" w:eastAsia="宋体" w:cs="宋体"/>
                <w:color w:val="auto"/>
                <w:spacing w:val="6"/>
                <w:sz w:val="24"/>
                <w:highlight w:val="none"/>
              </w:rPr>
            </w:pPr>
          </w:p>
        </w:tc>
      </w:tr>
      <w:tr w14:paraId="79061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699D4B25">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D4FFD30">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DB03BA2">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4B372AA5">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69B328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76D5C90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78C0A00">
            <w:pPr>
              <w:adjustRightInd w:val="0"/>
              <w:snapToGrid w:val="0"/>
              <w:spacing w:line="321" w:lineRule="auto"/>
              <w:jc w:val="center"/>
              <w:rPr>
                <w:rFonts w:hint="eastAsia" w:ascii="宋体" w:hAnsi="宋体" w:eastAsia="宋体" w:cs="宋体"/>
                <w:color w:val="auto"/>
                <w:spacing w:val="6"/>
                <w:sz w:val="24"/>
                <w:highlight w:val="none"/>
              </w:rPr>
            </w:pPr>
          </w:p>
        </w:tc>
      </w:tr>
      <w:tr w14:paraId="6C177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17472343">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80E5CF4">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71FF15EB">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2E0AB69F">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6CBF7E2">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56DF0054">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2D709764">
            <w:pPr>
              <w:adjustRightInd w:val="0"/>
              <w:snapToGrid w:val="0"/>
              <w:spacing w:line="321" w:lineRule="auto"/>
              <w:jc w:val="center"/>
              <w:rPr>
                <w:rFonts w:hint="eastAsia" w:ascii="宋体" w:hAnsi="宋体" w:eastAsia="宋体" w:cs="宋体"/>
                <w:color w:val="auto"/>
                <w:spacing w:val="6"/>
                <w:sz w:val="24"/>
                <w:highlight w:val="none"/>
              </w:rPr>
            </w:pPr>
          </w:p>
        </w:tc>
      </w:tr>
    </w:tbl>
    <w:p w14:paraId="24ED6EF4">
      <w:pP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注：1.此表可扩展。</w:t>
      </w:r>
    </w:p>
    <w:p w14:paraId="4D006762">
      <w:pPr>
        <w:pStyle w:val="17"/>
        <w:rPr>
          <w:rFonts w:hint="eastAsia" w:ascii="宋体" w:hAnsi="宋体" w:eastAsia="宋体" w:cs="宋体"/>
          <w:color w:val="auto"/>
          <w:highlight w:val="none"/>
          <w:lang w:val="en-US"/>
        </w:rPr>
      </w:pPr>
      <w:r>
        <w:rPr>
          <w:rFonts w:hint="eastAsia" w:ascii="宋体" w:hAnsi="宋体" w:eastAsia="宋体" w:cs="宋体"/>
          <w:color w:val="auto"/>
          <w:sz w:val="24"/>
          <w:szCs w:val="21"/>
          <w:highlight w:val="none"/>
        </w:rPr>
        <w:t>2.</w:t>
      </w:r>
      <w:r>
        <w:rPr>
          <w:rFonts w:hint="eastAsia" w:ascii="宋体" w:hAnsi="宋体" w:eastAsia="宋体" w:cs="宋体"/>
          <w:color w:val="auto"/>
          <w:sz w:val="24"/>
          <w:szCs w:val="24"/>
          <w:highlight w:val="none"/>
          <w:shd w:val="clear" w:color="auto" w:fill="auto"/>
          <w:lang w:val="en-US" w:eastAsia="zh-CN"/>
        </w:rPr>
        <w:t>提供相关证明材料。</w:t>
      </w:r>
    </w:p>
    <w:p w14:paraId="7EC8029C">
      <w:pPr>
        <w:spacing w:line="480" w:lineRule="auto"/>
        <w:ind w:firstLine="480" w:firstLineChars="200"/>
        <w:jc w:val="left"/>
        <w:rPr>
          <w:rFonts w:hint="eastAsia" w:ascii="宋体" w:hAnsi="宋体" w:eastAsia="宋体" w:cs="宋体"/>
          <w:bCs/>
          <w:color w:val="auto"/>
          <w:sz w:val="24"/>
          <w:highlight w:val="none"/>
        </w:rPr>
      </w:pPr>
    </w:p>
    <w:p w14:paraId="3A9DD41F">
      <w:pPr>
        <w:spacing w:line="480" w:lineRule="auto"/>
        <w:ind w:firstLine="480" w:firstLineChars="200"/>
        <w:jc w:val="left"/>
        <w:rPr>
          <w:rFonts w:hint="eastAsia" w:ascii="宋体" w:hAnsi="宋体" w:eastAsia="宋体" w:cs="宋体"/>
          <w:bCs/>
          <w:color w:val="auto"/>
          <w:sz w:val="24"/>
          <w:highlight w:val="none"/>
        </w:rPr>
      </w:pPr>
    </w:p>
    <w:p w14:paraId="2E3F40DD">
      <w:pPr>
        <w:spacing w:line="480" w:lineRule="auto"/>
        <w:ind w:firstLine="480" w:firstLineChars="200"/>
        <w:jc w:val="left"/>
        <w:rPr>
          <w:rFonts w:hint="eastAsia" w:ascii="宋体" w:hAnsi="宋体" w:eastAsia="宋体" w:cs="宋体"/>
          <w:bCs/>
          <w:color w:val="auto"/>
          <w:sz w:val="24"/>
          <w:highlight w:val="none"/>
        </w:rPr>
      </w:pPr>
    </w:p>
    <w:p w14:paraId="15F705D1">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2F66C800">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5973FC81">
      <w:pPr>
        <w:pStyle w:val="2"/>
        <w:spacing w:line="480" w:lineRule="auto"/>
        <w:ind w:firstLine="448" w:firstLineChars="200"/>
        <w:rPr>
          <w:rFonts w:hint="eastAsia" w:ascii="宋体" w:hAnsi="宋体" w:eastAsia="宋体" w:cs="宋体"/>
          <w:color w:val="auto"/>
          <w:highlight w:val="none"/>
        </w:rPr>
      </w:pPr>
      <w:r>
        <w:rPr>
          <w:rFonts w:hint="eastAsia" w:ascii="宋体" w:hAnsi="宋体" w:eastAsia="宋体" w:cs="宋体"/>
          <w:b w:val="0"/>
          <w:color w:val="auto"/>
          <w:sz w:val="24"/>
          <w:highlight w:val="none"/>
        </w:rPr>
        <w:t>日期：</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年</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月</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日</w:t>
      </w:r>
    </w:p>
    <w:p w14:paraId="42AF658C">
      <w:pPr>
        <w:pStyle w:val="5"/>
        <w:jc w:val="center"/>
        <w:rPr>
          <w:rStyle w:val="135"/>
          <w:rFonts w:hint="eastAsia" w:ascii="宋体" w:hAnsi="宋体" w:eastAsia="宋体" w:cs="宋体"/>
          <w:b/>
          <w:color w:val="auto"/>
          <w:sz w:val="28"/>
          <w:szCs w:val="28"/>
          <w:highlight w:val="none"/>
        </w:rPr>
      </w:pPr>
      <w:r>
        <w:rPr>
          <w:rFonts w:hint="eastAsia" w:ascii="宋体" w:hAnsi="宋体" w:eastAsia="宋体" w:cs="宋体"/>
          <w:bCs/>
          <w:color w:val="auto"/>
          <w:szCs w:val="28"/>
          <w:highlight w:val="none"/>
        </w:rPr>
        <w:br w:type="page"/>
      </w:r>
      <w:bookmarkStart w:id="376" w:name="_Toc13652"/>
      <w:bookmarkStart w:id="377" w:name="_Toc10996"/>
      <w:r>
        <w:rPr>
          <w:rFonts w:hint="eastAsia" w:ascii="宋体" w:hAnsi="宋体" w:eastAsia="宋体" w:cs="宋体"/>
          <w:bCs/>
          <w:color w:val="auto"/>
          <w:szCs w:val="28"/>
          <w:highlight w:val="none"/>
        </w:rPr>
        <w:t>（</w:t>
      </w:r>
      <w:r>
        <w:rPr>
          <w:rFonts w:hint="eastAsia" w:ascii="宋体" w:hAnsi="宋体" w:eastAsia="宋体" w:cs="宋体"/>
          <w:bCs/>
          <w:color w:val="auto"/>
          <w:szCs w:val="28"/>
          <w:highlight w:val="none"/>
          <w:lang w:val="en-US" w:eastAsia="zh-CN"/>
        </w:rPr>
        <w:t>五</w:t>
      </w:r>
      <w:r>
        <w:rPr>
          <w:rFonts w:hint="eastAsia" w:ascii="宋体" w:hAnsi="宋体" w:eastAsia="宋体" w:cs="宋体"/>
          <w:bCs/>
          <w:color w:val="auto"/>
          <w:szCs w:val="28"/>
          <w:highlight w:val="none"/>
        </w:rPr>
        <w:t>）</w:t>
      </w:r>
      <w:r>
        <w:rPr>
          <w:rStyle w:val="135"/>
          <w:rFonts w:hint="eastAsia" w:ascii="宋体" w:hAnsi="宋体" w:eastAsia="宋体" w:cs="宋体"/>
          <w:b/>
          <w:color w:val="auto"/>
          <w:sz w:val="28"/>
          <w:szCs w:val="28"/>
          <w:highlight w:val="none"/>
        </w:rPr>
        <w:t>技术方案</w:t>
      </w:r>
      <w:bookmarkEnd w:id="376"/>
      <w:bookmarkEnd w:id="377"/>
    </w:p>
    <w:p w14:paraId="1D193446">
      <w:pPr>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（格式自拟）</w:t>
      </w:r>
    </w:p>
    <w:p w14:paraId="78EEFE5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根据招标文件及采购人要求编制项目实施方案，此章节格式自拟，包括但不限于以下内容：</w:t>
      </w:r>
    </w:p>
    <w:p w14:paraId="713284D5">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项目实施方案</w:t>
      </w:r>
    </w:p>
    <w:p w14:paraId="73F69865">
      <w:pPr>
        <w:spacing w:line="360" w:lineRule="auto"/>
        <w:jc w:val="left"/>
        <w:rPr>
          <w:rFonts w:hint="eastAsia" w:ascii="宋体" w:hAnsi="宋体" w:eastAsia="宋体" w:cs="宋体"/>
          <w:b/>
          <w:bCs/>
          <w:color w:val="auto"/>
          <w:sz w:val="24"/>
          <w:highlight w:val="none"/>
        </w:rPr>
      </w:pPr>
    </w:p>
    <w:p w14:paraId="622FAB43">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rPr>
        <w:t>质量保证承诺及措施</w:t>
      </w:r>
    </w:p>
    <w:p w14:paraId="6874CB48">
      <w:pPr>
        <w:spacing w:line="360" w:lineRule="auto"/>
        <w:jc w:val="left"/>
        <w:rPr>
          <w:rFonts w:hint="eastAsia" w:ascii="宋体" w:hAnsi="宋体" w:eastAsia="宋体" w:cs="宋体"/>
          <w:b/>
          <w:bCs/>
          <w:color w:val="auto"/>
          <w:sz w:val="24"/>
          <w:highlight w:val="none"/>
        </w:rPr>
      </w:pPr>
    </w:p>
    <w:p w14:paraId="3DDDA6CA">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售后服务方案</w:t>
      </w:r>
    </w:p>
    <w:p w14:paraId="673BCBC0">
      <w:pPr>
        <w:spacing w:line="360" w:lineRule="auto"/>
        <w:jc w:val="left"/>
        <w:rPr>
          <w:rFonts w:hint="eastAsia" w:ascii="宋体" w:hAnsi="宋体" w:eastAsia="宋体" w:cs="宋体"/>
          <w:b/>
          <w:bCs/>
          <w:color w:val="auto"/>
          <w:sz w:val="24"/>
          <w:highlight w:val="none"/>
        </w:rPr>
      </w:pPr>
    </w:p>
    <w:p w14:paraId="7632A160">
      <w:pPr>
        <w:spacing w:line="360" w:lineRule="auto"/>
        <w:jc w:val="left"/>
        <w:rPr>
          <w:rFonts w:hint="eastAsia" w:ascii="宋体" w:hAnsi="宋体" w:eastAsia="宋体" w:cs="宋体"/>
          <w:color w:val="auto"/>
          <w:sz w:val="24"/>
          <w:highlight w:val="none"/>
        </w:rPr>
      </w:pPr>
      <w:bookmarkStart w:id="378" w:name="_Toc3896319"/>
      <w:r>
        <w:rPr>
          <w:rFonts w:hint="eastAsia" w:ascii="宋体" w:hAnsi="宋体" w:eastAsia="宋体" w:cs="宋体"/>
          <w:color w:val="auto"/>
          <w:sz w:val="24"/>
          <w:highlight w:val="none"/>
        </w:rPr>
        <w:t>注：上述内容及格式由投标人根据“评标办法”中的评审内容及标准并结合自身实际情况自行拟定。</w:t>
      </w:r>
    </w:p>
    <w:p w14:paraId="2B032E74">
      <w:pPr>
        <w:pStyle w:val="5"/>
        <w:jc w:val="center"/>
        <w:rPr>
          <w:rFonts w:hint="eastAsia" w:ascii="宋体" w:hAnsi="宋体" w:eastAsia="宋体" w:cs="宋体"/>
          <w:color w:val="auto"/>
          <w:sz w:val="24"/>
          <w:szCs w:val="24"/>
          <w:highlight w:val="none"/>
        </w:rPr>
      </w:pPr>
      <w:r>
        <w:rPr>
          <w:rFonts w:hint="eastAsia" w:ascii="宋体" w:hAnsi="宋体" w:eastAsia="宋体" w:cs="宋体"/>
          <w:color w:val="auto"/>
          <w:szCs w:val="28"/>
          <w:highlight w:val="none"/>
        </w:rPr>
        <w:br w:type="page"/>
      </w:r>
      <w:bookmarkStart w:id="379" w:name="_Toc14447"/>
      <w:bookmarkStart w:id="380" w:name="_Toc7333"/>
      <w:bookmarkStart w:id="381" w:name="_Toc1929"/>
      <w:bookmarkStart w:id="382" w:name="_Toc27581"/>
      <w:bookmarkStart w:id="383" w:name="_Toc7624"/>
      <w:bookmarkStart w:id="384" w:name="_Toc24548"/>
      <w:bookmarkStart w:id="385" w:name="_Toc6819"/>
      <w:bookmarkStart w:id="386" w:name="_Toc13392"/>
      <w:bookmarkStart w:id="387" w:name="_Toc25340"/>
      <w:r>
        <w:rPr>
          <w:rStyle w:val="135"/>
          <w:rFonts w:hint="eastAsia" w:ascii="宋体" w:hAnsi="宋体" w:eastAsia="宋体" w:cs="宋体"/>
          <w:b/>
          <w:color w:val="auto"/>
          <w:sz w:val="28"/>
          <w:szCs w:val="28"/>
          <w:highlight w:val="none"/>
        </w:rPr>
        <w:t>（</w:t>
      </w:r>
      <w:r>
        <w:rPr>
          <w:rStyle w:val="135"/>
          <w:rFonts w:hint="eastAsia" w:ascii="宋体" w:hAnsi="宋体" w:eastAsia="宋体" w:cs="宋体"/>
          <w:b/>
          <w:color w:val="auto"/>
          <w:sz w:val="28"/>
          <w:szCs w:val="28"/>
          <w:highlight w:val="none"/>
          <w:lang w:val="en-US" w:eastAsia="zh-CN"/>
        </w:rPr>
        <w:t>六</w:t>
      </w:r>
      <w:r>
        <w:rPr>
          <w:rStyle w:val="135"/>
          <w:rFonts w:hint="eastAsia" w:ascii="宋体" w:hAnsi="宋体" w:eastAsia="宋体" w:cs="宋体"/>
          <w:b/>
          <w:color w:val="auto"/>
          <w:sz w:val="28"/>
          <w:szCs w:val="28"/>
          <w:highlight w:val="none"/>
        </w:rPr>
        <w:t>）其他资料</w:t>
      </w:r>
      <w:bookmarkEnd w:id="378"/>
      <w:bookmarkEnd w:id="379"/>
      <w:bookmarkEnd w:id="380"/>
      <w:bookmarkEnd w:id="381"/>
      <w:bookmarkEnd w:id="382"/>
      <w:bookmarkEnd w:id="383"/>
      <w:bookmarkEnd w:id="384"/>
      <w:bookmarkEnd w:id="385"/>
      <w:bookmarkEnd w:id="386"/>
      <w:bookmarkEnd w:id="387"/>
    </w:p>
    <w:p w14:paraId="51C9833D">
      <w:pPr>
        <w:spacing w:line="360" w:lineRule="auto"/>
        <w:jc w:val="center"/>
        <w:rPr>
          <w:rFonts w:hint="eastAsia" w:ascii="宋体" w:hAnsi="宋体" w:eastAsia="宋体" w:cs="宋体"/>
          <w:color w:val="auto"/>
          <w:sz w:val="24"/>
          <w:highlight w:val="none"/>
        </w:rPr>
      </w:pPr>
      <w:bookmarkStart w:id="388" w:name="_Toc12254"/>
      <w:bookmarkEnd w:id="388"/>
      <w:bookmarkStart w:id="389" w:name="_Toc468"/>
      <w:bookmarkEnd w:id="389"/>
      <w:r>
        <w:rPr>
          <w:rFonts w:hint="eastAsia" w:ascii="宋体" w:hAnsi="宋体" w:eastAsia="宋体" w:cs="宋体"/>
          <w:color w:val="auto"/>
          <w:sz w:val="24"/>
          <w:highlight w:val="none"/>
        </w:rPr>
        <w:t>投标人认为需要提交的其他资料（格式自拟）</w:t>
      </w:r>
    </w:p>
    <w:p w14:paraId="5F9C8AAA">
      <w:pPr>
        <w:spacing w:line="480" w:lineRule="auto"/>
        <w:rPr>
          <w:rFonts w:hint="eastAsia" w:ascii="宋体" w:hAnsi="宋体" w:eastAsia="宋体" w:cs="宋体"/>
          <w:color w:val="auto"/>
          <w:sz w:val="24"/>
          <w:highlight w:val="none"/>
        </w:rPr>
      </w:pPr>
    </w:p>
    <w:p w14:paraId="48D0A633">
      <w:pPr>
        <w:pStyle w:val="2"/>
        <w:rPr>
          <w:rFonts w:hint="eastAsia" w:ascii="宋体" w:hAnsi="宋体" w:eastAsia="宋体" w:cs="宋体"/>
          <w:color w:val="auto"/>
          <w:highlight w:val="none"/>
        </w:rPr>
      </w:pPr>
    </w:p>
    <w:sectPr>
      <w:pgSz w:w="11906" w:h="16838"/>
      <w:pgMar w:top="1247" w:right="1247" w:bottom="1247" w:left="1247" w:header="964"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金山简黑体">
    <w:altName w:val="宋体"/>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全真簡粗明">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MicrosoftYaHei">
    <w:altName w:val="宋体"/>
    <w:panose1 w:val="00000000000000000000"/>
    <w:charset w:val="86"/>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BFA10">
    <w:pPr>
      <w:pStyle w:val="26"/>
    </w:pPr>
    <w:r>
      <mc:AlternateContent>
        <mc:Choice Requires="wps">
          <w:drawing>
            <wp:anchor distT="0" distB="0" distL="114300" distR="114300" simplePos="0" relativeHeight="251659264" behindDoc="0" locked="0" layoutInCell="1" allowOverlap="1">
              <wp:simplePos x="0" y="0"/>
              <wp:positionH relativeFrom="margin">
                <wp:posOffset>5455920</wp:posOffset>
              </wp:positionH>
              <wp:positionV relativeFrom="paragraph">
                <wp:posOffset>153035</wp:posOffset>
              </wp:positionV>
              <wp:extent cx="76200" cy="182245"/>
              <wp:effectExtent l="0" t="0" r="0" b="0"/>
              <wp:wrapNone/>
              <wp:docPr id="5" name="文本框 8"/>
              <wp:cNvGraphicFramePr/>
              <a:graphic xmlns:a="http://schemas.openxmlformats.org/drawingml/2006/main">
                <a:graphicData uri="http://schemas.microsoft.com/office/word/2010/wordprocessingShape">
                  <wps:wsp>
                    <wps:cNvSpPr txBox="1"/>
                    <wps:spPr>
                      <a:xfrm flipV="1">
                        <a:off x="0" y="0"/>
                        <a:ext cx="76200" cy="182245"/>
                      </a:xfrm>
                      <a:prstGeom prst="rect">
                        <a:avLst/>
                      </a:prstGeom>
                      <a:noFill/>
                      <a:ln>
                        <a:noFill/>
                      </a:ln>
                    </wps:spPr>
                    <wps:txbx>
                      <w:txbxContent>
                        <w:p w14:paraId="46E022E0"/>
                      </w:txbxContent>
                    </wps:txbx>
                    <wps:bodyPr lIns="0" tIns="0" rIns="0" bIns="0"/>
                  </wps:wsp>
                </a:graphicData>
              </a:graphic>
            </wp:anchor>
          </w:drawing>
        </mc:Choice>
        <mc:Fallback>
          <w:pict>
            <v:shape id="文本框 8" o:spid="_x0000_s1026" o:spt="202" type="#_x0000_t202" style="position:absolute;left:0pt;flip:y;margin-left:429.6pt;margin-top:12.05pt;height:14.35pt;width:6pt;mso-position-horizontal-relative:margin;z-index:251659264;mso-width-relative:page;mso-height-relative:page;" filled="f" stroked="f" coordsize="21600,21600" o:gfxdata="UEsDBAoAAAAAAIdO4kAAAAAAAAAAAAAAAAAEAAAAZHJzL1BLAwQUAAAACACHTuJAkiJlEdgAAAAJ&#10;AQAADwAAAGRycy9kb3ducmV2LnhtbE2Py07DMBBF90j8gzVI7KgfojRN41QIhAQLFpR+gBsPcUps&#10;R7Hbhn49w6osZ+bozrnVevI9O+KYuhg0yJkAhqGJtguthu3ny10BLGUTrOljQA0/mGBdX19VprTx&#10;FD7wuMkto5CQSqPB5TyUnKfGoTdpFgcMdPuKozeZxrHldjQnCvc9V0I8cG+6QB+cGfDJYfO9OXgN&#10;YpJv7t2p1+3j4tnI/dKfz63X+vZGihWwjFO+wPCnT+pQk9MuHoJNrNdQzJeKUA3qXgIjoFhIWuw0&#10;zFUBvK74/wb1L1BLAwQUAAAACACHTuJAgM0xtLgBAABuAwAADgAAAGRycy9lMm9Eb2MueG1srVPB&#10;jtMwEL0j8Q+W79RtxS5V1HQlVC1CQoC0LHfXsRtLtsfyeJv0B+APOHHhznf1OxgnaYHlsgcu1vjN&#10;5Hnem8n6pveOHXRCC6Hmi9mcMx0UNDbsa37/6fbFijPMMjTSQdA1P2rkN5vnz9ZdrPQSWnCNToxI&#10;AlZdrHmbc6yEQNVqL3EGUQdKGkheZrqmvWiS7IjdO7Gcz69FB6mJCZRGJHQ7JvnEmJ5CCMZYpbeg&#10;HrwOeWRN2slMkrC1Eflm6NYYrfIHY1Bn5mpOSvNw0iMU78opNmtZ7ZOMrVVTC/IpLTzS5KUN9OiF&#10;aiuzZA/J/kPlrUqAYPJMgRejkMERUrGYP/LmrpVRD1rIaowX0/H/0ar3h4+J2abmV5wF6Wngp29f&#10;T99/nn58YatiTxexoqq7SHW5fw09Lc0ZRwKL6t4kz4yz8XNJFoSUMaokm48Xm3WfmSLw1TXtAWeK&#10;MovVcvnyqtCJkaV8GxPmNxo8K0HNEw1x4JSHd5jH0nNJKQ9wa50bBunCXwBxFkQUCWOrJcr9rp90&#10;7aA5kiz3NpClZT3OQToHuykoz5aPaQxDr9PKlDn/eR+qfv8mm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SImUR2AAAAAkBAAAPAAAAAAAAAAEAIAAAACIAAABkcnMvZG93bnJldi54bWxQSwECFAAU&#10;AAAACACHTuJAgM0xtLgBAABuAwAADgAAAAAAAAABACAAAAAnAQAAZHJzL2Uyb0RvYy54bWxQSwUG&#10;AAAAAAYABgBZAQAAUQUAAAAA&#10;">
              <v:fill on="f" focussize="0,0"/>
              <v:stroke on="f"/>
              <v:imagedata o:title=""/>
              <o:lock v:ext="edit" aspectratio="f"/>
              <v:textbox inset="0mm,0mm,0mm,0mm">
                <w:txbxContent>
                  <w:p w14:paraId="46E022E0"/>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5F4F">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06206">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FD68">
    <w:pPr>
      <w:jc w:val="cente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E721">
    <w:pPr>
      <w:pStyle w:val="28"/>
      <w:pBdr>
        <w:bottom w:val="double" w:color="auto" w:sz="8" w:space="1"/>
      </w:pBdr>
      <w:tabs>
        <w:tab w:val="left" w:pos="9514"/>
      </w:tabs>
      <w:ind w:left="1440" w:hanging="1440" w:hangingChars="900"/>
      <w:jc w:val="both"/>
      <w:rPr>
        <w:rFonts w:hint="eastAsia" w:ascii="宋体" w:hAnsi="宋体" w:cs="宋体"/>
      </w:rPr>
    </w:pPr>
    <w:r>
      <w:rPr>
        <w:rFonts w:hint="eastAsia" w:ascii="宋体" w:hAnsi="宋体" w:cs="宋体"/>
        <w:sz w:val="16"/>
        <w:szCs w:val="16"/>
        <w:lang w:eastAsia="zh-CN"/>
      </w:rPr>
      <w:t>玉溪职业技术学院（云南省玉溪工业财贸学校）改善办学条件采购项目</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招标文件</w:t>
    </w:r>
    <w:r>
      <w:rPr>
        <w:rFonts w:hint="eastAsia" w:ascii="宋体" w:hAnsi="宋体" w:cs="宋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E324">
    <w:pPr>
      <w:pStyle w:val="28"/>
      <w:pBdr>
        <w:top w:val="none" w:color="auto" w:sz="0" w:space="1"/>
        <w:left w:val="none" w:color="auto" w:sz="0" w:space="4"/>
        <w:bottom w:val="none" w:color="auto" w:sz="0" w:space="1"/>
        <w:right w:val="none" w:color="auto" w:sz="0" w:space="4"/>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7A4CC">
    <w:pPr>
      <w:pStyle w:val="28"/>
      <w:pBdr>
        <w:bottom w:val="double" w:color="auto" w:sz="8" w:space="1"/>
      </w:pBdr>
      <w:jc w:val="both"/>
    </w:pPr>
    <w:r>
      <w:rPr>
        <w:rFonts w:hint="eastAsia" w:ascii="宋体" w:hAnsi="宋体" w:cs="宋体"/>
        <w:lang w:eastAsia="zh-CN"/>
      </w:rPr>
      <w:t>玉溪职业技术学院（云南省玉溪工业财贸学校）改善办学条件采购项目</w:t>
    </w: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cs="宋体"/>
      </w:rPr>
      <w:t xml:space="preserve">    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wMDU5YzQwNmZmYjBjODI1YWI4NjljYzMxMTVmNDQifQ=="/>
  </w:docVars>
  <w:rsids>
    <w:rsidRoot w:val="00172A27"/>
    <w:rsid w:val="00000583"/>
    <w:rsid w:val="00000DB9"/>
    <w:rsid w:val="00001D15"/>
    <w:rsid w:val="00001D57"/>
    <w:rsid w:val="0000208E"/>
    <w:rsid w:val="0000310B"/>
    <w:rsid w:val="000036BA"/>
    <w:rsid w:val="00003913"/>
    <w:rsid w:val="00004FBB"/>
    <w:rsid w:val="00006E60"/>
    <w:rsid w:val="00010A4F"/>
    <w:rsid w:val="00011174"/>
    <w:rsid w:val="00013B47"/>
    <w:rsid w:val="00015278"/>
    <w:rsid w:val="000166AC"/>
    <w:rsid w:val="000218A1"/>
    <w:rsid w:val="000240CF"/>
    <w:rsid w:val="00025128"/>
    <w:rsid w:val="0002582D"/>
    <w:rsid w:val="000260E9"/>
    <w:rsid w:val="00026478"/>
    <w:rsid w:val="00027683"/>
    <w:rsid w:val="0003012D"/>
    <w:rsid w:val="00031535"/>
    <w:rsid w:val="00031D40"/>
    <w:rsid w:val="000329BF"/>
    <w:rsid w:val="00032A06"/>
    <w:rsid w:val="00032CC2"/>
    <w:rsid w:val="00036C5B"/>
    <w:rsid w:val="00040B5D"/>
    <w:rsid w:val="00040D02"/>
    <w:rsid w:val="00042146"/>
    <w:rsid w:val="000426F3"/>
    <w:rsid w:val="0004345F"/>
    <w:rsid w:val="0004449A"/>
    <w:rsid w:val="000448A7"/>
    <w:rsid w:val="00044C52"/>
    <w:rsid w:val="000451C9"/>
    <w:rsid w:val="00045CD7"/>
    <w:rsid w:val="0004650F"/>
    <w:rsid w:val="00046F29"/>
    <w:rsid w:val="0004770E"/>
    <w:rsid w:val="00051754"/>
    <w:rsid w:val="000524BB"/>
    <w:rsid w:val="000535E0"/>
    <w:rsid w:val="0005412C"/>
    <w:rsid w:val="00055DD1"/>
    <w:rsid w:val="00056C34"/>
    <w:rsid w:val="00056CAB"/>
    <w:rsid w:val="000610AC"/>
    <w:rsid w:val="00062063"/>
    <w:rsid w:val="00062C89"/>
    <w:rsid w:val="00062E82"/>
    <w:rsid w:val="0006341E"/>
    <w:rsid w:val="0006413E"/>
    <w:rsid w:val="00065286"/>
    <w:rsid w:val="00066C5D"/>
    <w:rsid w:val="00066C9D"/>
    <w:rsid w:val="000671BB"/>
    <w:rsid w:val="00067A6D"/>
    <w:rsid w:val="00071493"/>
    <w:rsid w:val="00071F8D"/>
    <w:rsid w:val="00072343"/>
    <w:rsid w:val="00073050"/>
    <w:rsid w:val="0007341A"/>
    <w:rsid w:val="00076216"/>
    <w:rsid w:val="00076494"/>
    <w:rsid w:val="00077740"/>
    <w:rsid w:val="00080112"/>
    <w:rsid w:val="00080C62"/>
    <w:rsid w:val="000827D2"/>
    <w:rsid w:val="000828C7"/>
    <w:rsid w:val="00083313"/>
    <w:rsid w:val="0008391A"/>
    <w:rsid w:val="000875F4"/>
    <w:rsid w:val="00090397"/>
    <w:rsid w:val="00092C1C"/>
    <w:rsid w:val="00092CBA"/>
    <w:rsid w:val="00093275"/>
    <w:rsid w:val="000937DF"/>
    <w:rsid w:val="00093A38"/>
    <w:rsid w:val="00095067"/>
    <w:rsid w:val="000961A8"/>
    <w:rsid w:val="000964E0"/>
    <w:rsid w:val="00097220"/>
    <w:rsid w:val="000A0BC7"/>
    <w:rsid w:val="000A10BF"/>
    <w:rsid w:val="000A2AC4"/>
    <w:rsid w:val="000A5E72"/>
    <w:rsid w:val="000A677C"/>
    <w:rsid w:val="000A7C1C"/>
    <w:rsid w:val="000B1E4E"/>
    <w:rsid w:val="000B1F0E"/>
    <w:rsid w:val="000B243F"/>
    <w:rsid w:val="000B5218"/>
    <w:rsid w:val="000B574C"/>
    <w:rsid w:val="000B5B08"/>
    <w:rsid w:val="000C1581"/>
    <w:rsid w:val="000C1F63"/>
    <w:rsid w:val="000C4CFD"/>
    <w:rsid w:val="000C6224"/>
    <w:rsid w:val="000D13A6"/>
    <w:rsid w:val="000D2DB2"/>
    <w:rsid w:val="000D6D2A"/>
    <w:rsid w:val="000E0A9E"/>
    <w:rsid w:val="000E0C3C"/>
    <w:rsid w:val="000E347D"/>
    <w:rsid w:val="000E457B"/>
    <w:rsid w:val="000E4582"/>
    <w:rsid w:val="000E4708"/>
    <w:rsid w:val="000E7ED9"/>
    <w:rsid w:val="000F104F"/>
    <w:rsid w:val="000F129A"/>
    <w:rsid w:val="000F2E32"/>
    <w:rsid w:val="000F317B"/>
    <w:rsid w:val="000F3C8C"/>
    <w:rsid w:val="000F6355"/>
    <w:rsid w:val="000F6B6E"/>
    <w:rsid w:val="0010066B"/>
    <w:rsid w:val="00100DA4"/>
    <w:rsid w:val="001011FD"/>
    <w:rsid w:val="001033EC"/>
    <w:rsid w:val="00103D33"/>
    <w:rsid w:val="00104F48"/>
    <w:rsid w:val="001052AD"/>
    <w:rsid w:val="00105365"/>
    <w:rsid w:val="00105AEC"/>
    <w:rsid w:val="00107FF5"/>
    <w:rsid w:val="001110DC"/>
    <w:rsid w:val="00111C8D"/>
    <w:rsid w:val="0011243F"/>
    <w:rsid w:val="00113BC4"/>
    <w:rsid w:val="001141A1"/>
    <w:rsid w:val="001147AB"/>
    <w:rsid w:val="00114F28"/>
    <w:rsid w:val="001164B8"/>
    <w:rsid w:val="00121A2D"/>
    <w:rsid w:val="00121F3F"/>
    <w:rsid w:val="0012249E"/>
    <w:rsid w:val="001226B7"/>
    <w:rsid w:val="001237F2"/>
    <w:rsid w:val="00125FB0"/>
    <w:rsid w:val="00126F52"/>
    <w:rsid w:val="00130039"/>
    <w:rsid w:val="0013047F"/>
    <w:rsid w:val="00132A0B"/>
    <w:rsid w:val="00136783"/>
    <w:rsid w:val="0013787F"/>
    <w:rsid w:val="00137B64"/>
    <w:rsid w:val="00140033"/>
    <w:rsid w:val="001407FD"/>
    <w:rsid w:val="001420C9"/>
    <w:rsid w:val="00142576"/>
    <w:rsid w:val="001429EA"/>
    <w:rsid w:val="00143494"/>
    <w:rsid w:val="0014457B"/>
    <w:rsid w:val="00146D70"/>
    <w:rsid w:val="00147B7F"/>
    <w:rsid w:val="0015050F"/>
    <w:rsid w:val="00150C25"/>
    <w:rsid w:val="00151B48"/>
    <w:rsid w:val="00152040"/>
    <w:rsid w:val="0015224A"/>
    <w:rsid w:val="001534FE"/>
    <w:rsid w:val="0015367E"/>
    <w:rsid w:val="00153DB5"/>
    <w:rsid w:val="00157B0D"/>
    <w:rsid w:val="00160D46"/>
    <w:rsid w:val="00161DDC"/>
    <w:rsid w:val="00162354"/>
    <w:rsid w:val="001623BF"/>
    <w:rsid w:val="00162CDB"/>
    <w:rsid w:val="00165C3A"/>
    <w:rsid w:val="0016689E"/>
    <w:rsid w:val="00167409"/>
    <w:rsid w:val="00167518"/>
    <w:rsid w:val="00170AD0"/>
    <w:rsid w:val="00171665"/>
    <w:rsid w:val="00172A27"/>
    <w:rsid w:val="00173330"/>
    <w:rsid w:val="001733CB"/>
    <w:rsid w:val="00175251"/>
    <w:rsid w:val="00176BCD"/>
    <w:rsid w:val="00180408"/>
    <w:rsid w:val="001825F4"/>
    <w:rsid w:val="001833F7"/>
    <w:rsid w:val="00183FA8"/>
    <w:rsid w:val="00186330"/>
    <w:rsid w:val="00191A30"/>
    <w:rsid w:val="00192913"/>
    <w:rsid w:val="001935F2"/>
    <w:rsid w:val="00194009"/>
    <w:rsid w:val="0019551F"/>
    <w:rsid w:val="00197651"/>
    <w:rsid w:val="001A1403"/>
    <w:rsid w:val="001A166A"/>
    <w:rsid w:val="001A30C1"/>
    <w:rsid w:val="001A3199"/>
    <w:rsid w:val="001A3C3B"/>
    <w:rsid w:val="001A3FF0"/>
    <w:rsid w:val="001A424B"/>
    <w:rsid w:val="001A45DA"/>
    <w:rsid w:val="001A541E"/>
    <w:rsid w:val="001A7593"/>
    <w:rsid w:val="001B1604"/>
    <w:rsid w:val="001B46A7"/>
    <w:rsid w:val="001B7DD2"/>
    <w:rsid w:val="001B7FBA"/>
    <w:rsid w:val="001C1F41"/>
    <w:rsid w:val="001C5BD0"/>
    <w:rsid w:val="001C6922"/>
    <w:rsid w:val="001C7796"/>
    <w:rsid w:val="001C77AD"/>
    <w:rsid w:val="001D0835"/>
    <w:rsid w:val="001D0E6B"/>
    <w:rsid w:val="001D1402"/>
    <w:rsid w:val="001D1468"/>
    <w:rsid w:val="001D2431"/>
    <w:rsid w:val="001D2BE1"/>
    <w:rsid w:val="001D2FD9"/>
    <w:rsid w:val="001D2FED"/>
    <w:rsid w:val="001D46D4"/>
    <w:rsid w:val="001D4D22"/>
    <w:rsid w:val="001D4E1F"/>
    <w:rsid w:val="001D4FFC"/>
    <w:rsid w:val="001D5234"/>
    <w:rsid w:val="001D558F"/>
    <w:rsid w:val="001D6937"/>
    <w:rsid w:val="001D7B47"/>
    <w:rsid w:val="001E04EE"/>
    <w:rsid w:val="001E14AE"/>
    <w:rsid w:val="001E455B"/>
    <w:rsid w:val="001E49E2"/>
    <w:rsid w:val="001E4A9F"/>
    <w:rsid w:val="001E4D01"/>
    <w:rsid w:val="001E4DC3"/>
    <w:rsid w:val="001E4F6D"/>
    <w:rsid w:val="001E5E29"/>
    <w:rsid w:val="001E6966"/>
    <w:rsid w:val="001F12CE"/>
    <w:rsid w:val="001F2179"/>
    <w:rsid w:val="001F2E37"/>
    <w:rsid w:val="001F356D"/>
    <w:rsid w:val="001F3CD7"/>
    <w:rsid w:val="001F572F"/>
    <w:rsid w:val="001F6614"/>
    <w:rsid w:val="001F6CB8"/>
    <w:rsid w:val="001F6CF5"/>
    <w:rsid w:val="001F7568"/>
    <w:rsid w:val="0020007A"/>
    <w:rsid w:val="00200D61"/>
    <w:rsid w:val="00207974"/>
    <w:rsid w:val="00210CC2"/>
    <w:rsid w:val="00210E2C"/>
    <w:rsid w:val="002118C0"/>
    <w:rsid w:val="00211A2E"/>
    <w:rsid w:val="00211B11"/>
    <w:rsid w:val="002124CB"/>
    <w:rsid w:val="002149AF"/>
    <w:rsid w:val="00215260"/>
    <w:rsid w:val="00217C85"/>
    <w:rsid w:val="00221EAF"/>
    <w:rsid w:val="002239F0"/>
    <w:rsid w:val="00226315"/>
    <w:rsid w:val="00226EC0"/>
    <w:rsid w:val="00227635"/>
    <w:rsid w:val="00227C7D"/>
    <w:rsid w:val="00230155"/>
    <w:rsid w:val="002306D7"/>
    <w:rsid w:val="00231235"/>
    <w:rsid w:val="00231D89"/>
    <w:rsid w:val="0023489E"/>
    <w:rsid w:val="00235FC7"/>
    <w:rsid w:val="00237596"/>
    <w:rsid w:val="002403E9"/>
    <w:rsid w:val="00240E32"/>
    <w:rsid w:val="002417F1"/>
    <w:rsid w:val="002420F3"/>
    <w:rsid w:val="002427ED"/>
    <w:rsid w:val="0024331C"/>
    <w:rsid w:val="00243A69"/>
    <w:rsid w:val="00243B76"/>
    <w:rsid w:val="00243D22"/>
    <w:rsid w:val="002441F0"/>
    <w:rsid w:val="00245761"/>
    <w:rsid w:val="00246C86"/>
    <w:rsid w:val="00247D03"/>
    <w:rsid w:val="00247ECF"/>
    <w:rsid w:val="00251710"/>
    <w:rsid w:val="00251D5A"/>
    <w:rsid w:val="00252186"/>
    <w:rsid w:val="00252947"/>
    <w:rsid w:val="00255D56"/>
    <w:rsid w:val="002560CD"/>
    <w:rsid w:val="00260430"/>
    <w:rsid w:val="00260A94"/>
    <w:rsid w:val="002613CE"/>
    <w:rsid w:val="002616AA"/>
    <w:rsid w:val="0026230E"/>
    <w:rsid w:val="00264DB1"/>
    <w:rsid w:val="002663DE"/>
    <w:rsid w:val="00267076"/>
    <w:rsid w:val="002702C1"/>
    <w:rsid w:val="0027049D"/>
    <w:rsid w:val="0027248E"/>
    <w:rsid w:val="00272A0C"/>
    <w:rsid w:val="002739EC"/>
    <w:rsid w:val="00273D46"/>
    <w:rsid w:val="00274CF2"/>
    <w:rsid w:val="00275C00"/>
    <w:rsid w:val="00275C64"/>
    <w:rsid w:val="0027736D"/>
    <w:rsid w:val="00280534"/>
    <w:rsid w:val="00281805"/>
    <w:rsid w:val="002838B5"/>
    <w:rsid w:val="00283E77"/>
    <w:rsid w:val="00285D37"/>
    <w:rsid w:val="002876C3"/>
    <w:rsid w:val="002877E6"/>
    <w:rsid w:val="00290FD9"/>
    <w:rsid w:val="002911BD"/>
    <w:rsid w:val="002920D4"/>
    <w:rsid w:val="00292311"/>
    <w:rsid w:val="00293308"/>
    <w:rsid w:val="00293AB3"/>
    <w:rsid w:val="00293D27"/>
    <w:rsid w:val="00294013"/>
    <w:rsid w:val="00294AB6"/>
    <w:rsid w:val="002958AC"/>
    <w:rsid w:val="00296201"/>
    <w:rsid w:val="002A0D7D"/>
    <w:rsid w:val="002A1B78"/>
    <w:rsid w:val="002A3021"/>
    <w:rsid w:val="002A3253"/>
    <w:rsid w:val="002A40DC"/>
    <w:rsid w:val="002A566F"/>
    <w:rsid w:val="002A58FD"/>
    <w:rsid w:val="002A5BAB"/>
    <w:rsid w:val="002A6641"/>
    <w:rsid w:val="002A6DDE"/>
    <w:rsid w:val="002B0105"/>
    <w:rsid w:val="002B1FE9"/>
    <w:rsid w:val="002B4111"/>
    <w:rsid w:val="002B59CE"/>
    <w:rsid w:val="002B783B"/>
    <w:rsid w:val="002C1296"/>
    <w:rsid w:val="002C1B81"/>
    <w:rsid w:val="002C3355"/>
    <w:rsid w:val="002C3CF8"/>
    <w:rsid w:val="002C6107"/>
    <w:rsid w:val="002D28FC"/>
    <w:rsid w:val="002D29C7"/>
    <w:rsid w:val="002D2D09"/>
    <w:rsid w:val="002D318B"/>
    <w:rsid w:val="002D3EB7"/>
    <w:rsid w:val="002D760A"/>
    <w:rsid w:val="002E0A42"/>
    <w:rsid w:val="002E1D66"/>
    <w:rsid w:val="002E246E"/>
    <w:rsid w:val="002E2676"/>
    <w:rsid w:val="002E47C4"/>
    <w:rsid w:val="002E57F3"/>
    <w:rsid w:val="002E5D9B"/>
    <w:rsid w:val="002E665C"/>
    <w:rsid w:val="002E6C4A"/>
    <w:rsid w:val="002E7017"/>
    <w:rsid w:val="002E73E3"/>
    <w:rsid w:val="002F3025"/>
    <w:rsid w:val="002F5058"/>
    <w:rsid w:val="002F54C6"/>
    <w:rsid w:val="002F5B21"/>
    <w:rsid w:val="003003E7"/>
    <w:rsid w:val="0030158E"/>
    <w:rsid w:val="00301765"/>
    <w:rsid w:val="00301C87"/>
    <w:rsid w:val="003020F5"/>
    <w:rsid w:val="0030293A"/>
    <w:rsid w:val="0030479E"/>
    <w:rsid w:val="003079D3"/>
    <w:rsid w:val="003105C7"/>
    <w:rsid w:val="00310D65"/>
    <w:rsid w:val="00311006"/>
    <w:rsid w:val="00312072"/>
    <w:rsid w:val="00313A53"/>
    <w:rsid w:val="00313E20"/>
    <w:rsid w:val="00314A2F"/>
    <w:rsid w:val="0031507A"/>
    <w:rsid w:val="00316250"/>
    <w:rsid w:val="00317C71"/>
    <w:rsid w:val="00321C23"/>
    <w:rsid w:val="00321CAB"/>
    <w:rsid w:val="00321F17"/>
    <w:rsid w:val="00322CDE"/>
    <w:rsid w:val="00322F65"/>
    <w:rsid w:val="003237BA"/>
    <w:rsid w:val="003239C0"/>
    <w:rsid w:val="00323F71"/>
    <w:rsid w:val="003253C5"/>
    <w:rsid w:val="00325787"/>
    <w:rsid w:val="00327689"/>
    <w:rsid w:val="00331AEF"/>
    <w:rsid w:val="003321BA"/>
    <w:rsid w:val="00333EB1"/>
    <w:rsid w:val="00333F4D"/>
    <w:rsid w:val="00334631"/>
    <w:rsid w:val="00335900"/>
    <w:rsid w:val="00335F7F"/>
    <w:rsid w:val="003361A0"/>
    <w:rsid w:val="0033627B"/>
    <w:rsid w:val="00336F41"/>
    <w:rsid w:val="003412A9"/>
    <w:rsid w:val="003413C4"/>
    <w:rsid w:val="00345D3A"/>
    <w:rsid w:val="003465A7"/>
    <w:rsid w:val="003472A9"/>
    <w:rsid w:val="00351120"/>
    <w:rsid w:val="00353966"/>
    <w:rsid w:val="00353DF5"/>
    <w:rsid w:val="00354DA3"/>
    <w:rsid w:val="0035519A"/>
    <w:rsid w:val="00355999"/>
    <w:rsid w:val="00355CBD"/>
    <w:rsid w:val="003561EB"/>
    <w:rsid w:val="00357105"/>
    <w:rsid w:val="003601A7"/>
    <w:rsid w:val="00360228"/>
    <w:rsid w:val="00361A02"/>
    <w:rsid w:val="0036223A"/>
    <w:rsid w:val="003622FE"/>
    <w:rsid w:val="003660E3"/>
    <w:rsid w:val="0036689E"/>
    <w:rsid w:val="0036709F"/>
    <w:rsid w:val="003674CC"/>
    <w:rsid w:val="003707BD"/>
    <w:rsid w:val="00372383"/>
    <w:rsid w:val="00373024"/>
    <w:rsid w:val="00376750"/>
    <w:rsid w:val="00376877"/>
    <w:rsid w:val="0038082D"/>
    <w:rsid w:val="003810DD"/>
    <w:rsid w:val="003838E6"/>
    <w:rsid w:val="00386F82"/>
    <w:rsid w:val="0039025C"/>
    <w:rsid w:val="00390EA2"/>
    <w:rsid w:val="0039170B"/>
    <w:rsid w:val="00391B37"/>
    <w:rsid w:val="00392843"/>
    <w:rsid w:val="00394241"/>
    <w:rsid w:val="00395DDB"/>
    <w:rsid w:val="0039696B"/>
    <w:rsid w:val="003970E0"/>
    <w:rsid w:val="003A135F"/>
    <w:rsid w:val="003A18F1"/>
    <w:rsid w:val="003A30B3"/>
    <w:rsid w:val="003A3611"/>
    <w:rsid w:val="003A3AEE"/>
    <w:rsid w:val="003A41CA"/>
    <w:rsid w:val="003A4966"/>
    <w:rsid w:val="003A4CFD"/>
    <w:rsid w:val="003A5AE4"/>
    <w:rsid w:val="003A70CE"/>
    <w:rsid w:val="003A72E3"/>
    <w:rsid w:val="003B11EE"/>
    <w:rsid w:val="003B2454"/>
    <w:rsid w:val="003B6582"/>
    <w:rsid w:val="003B7B03"/>
    <w:rsid w:val="003C0B72"/>
    <w:rsid w:val="003C2A6A"/>
    <w:rsid w:val="003C3248"/>
    <w:rsid w:val="003C349C"/>
    <w:rsid w:val="003C363D"/>
    <w:rsid w:val="003C5085"/>
    <w:rsid w:val="003C51FF"/>
    <w:rsid w:val="003C5B68"/>
    <w:rsid w:val="003C6478"/>
    <w:rsid w:val="003D091D"/>
    <w:rsid w:val="003D105D"/>
    <w:rsid w:val="003D212F"/>
    <w:rsid w:val="003D2164"/>
    <w:rsid w:val="003D2224"/>
    <w:rsid w:val="003D2FCA"/>
    <w:rsid w:val="003D3A2F"/>
    <w:rsid w:val="003D4CDB"/>
    <w:rsid w:val="003D5356"/>
    <w:rsid w:val="003D5597"/>
    <w:rsid w:val="003D59D6"/>
    <w:rsid w:val="003E0DFF"/>
    <w:rsid w:val="003E2670"/>
    <w:rsid w:val="003E27F4"/>
    <w:rsid w:val="003E70DD"/>
    <w:rsid w:val="003E7872"/>
    <w:rsid w:val="003F009D"/>
    <w:rsid w:val="003F11C3"/>
    <w:rsid w:val="003F289B"/>
    <w:rsid w:val="003F3AC1"/>
    <w:rsid w:val="003F4C7D"/>
    <w:rsid w:val="003F4CDB"/>
    <w:rsid w:val="003F65D6"/>
    <w:rsid w:val="003F6D47"/>
    <w:rsid w:val="00404A96"/>
    <w:rsid w:val="00405630"/>
    <w:rsid w:val="004062CA"/>
    <w:rsid w:val="004067EB"/>
    <w:rsid w:val="00406BA1"/>
    <w:rsid w:val="004100DD"/>
    <w:rsid w:val="00410F40"/>
    <w:rsid w:val="00412580"/>
    <w:rsid w:val="004127FC"/>
    <w:rsid w:val="00413294"/>
    <w:rsid w:val="00413E4F"/>
    <w:rsid w:val="004143F1"/>
    <w:rsid w:val="004153E8"/>
    <w:rsid w:val="00416FDE"/>
    <w:rsid w:val="004170B2"/>
    <w:rsid w:val="0042010B"/>
    <w:rsid w:val="00423677"/>
    <w:rsid w:val="0042468A"/>
    <w:rsid w:val="0042655D"/>
    <w:rsid w:val="004308C1"/>
    <w:rsid w:val="0043249F"/>
    <w:rsid w:val="0043277C"/>
    <w:rsid w:val="00435E3D"/>
    <w:rsid w:val="00436B47"/>
    <w:rsid w:val="0043754C"/>
    <w:rsid w:val="00442003"/>
    <w:rsid w:val="004420FE"/>
    <w:rsid w:val="004421F1"/>
    <w:rsid w:val="00442B28"/>
    <w:rsid w:val="00445191"/>
    <w:rsid w:val="004473FF"/>
    <w:rsid w:val="00447B3E"/>
    <w:rsid w:val="00452D07"/>
    <w:rsid w:val="00453CA9"/>
    <w:rsid w:val="00454598"/>
    <w:rsid w:val="00454A75"/>
    <w:rsid w:val="00454BF9"/>
    <w:rsid w:val="004574A3"/>
    <w:rsid w:val="0045753A"/>
    <w:rsid w:val="00457C75"/>
    <w:rsid w:val="00460A9F"/>
    <w:rsid w:val="00460AB8"/>
    <w:rsid w:val="00460D42"/>
    <w:rsid w:val="004613D6"/>
    <w:rsid w:val="00461EBA"/>
    <w:rsid w:val="00462379"/>
    <w:rsid w:val="0046284F"/>
    <w:rsid w:val="00463158"/>
    <w:rsid w:val="0046468A"/>
    <w:rsid w:val="004654A9"/>
    <w:rsid w:val="004658DA"/>
    <w:rsid w:val="00465A54"/>
    <w:rsid w:val="00466A00"/>
    <w:rsid w:val="00466A16"/>
    <w:rsid w:val="004709D1"/>
    <w:rsid w:val="00470B19"/>
    <w:rsid w:val="00472A13"/>
    <w:rsid w:val="004736E3"/>
    <w:rsid w:val="0047562A"/>
    <w:rsid w:val="0047737D"/>
    <w:rsid w:val="004779AA"/>
    <w:rsid w:val="004823F5"/>
    <w:rsid w:val="004836F9"/>
    <w:rsid w:val="00483BDD"/>
    <w:rsid w:val="00483E76"/>
    <w:rsid w:val="00483F5C"/>
    <w:rsid w:val="00484F66"/>
    <w:rsid w:val="00487E11"/>
    <w:rsid w:val="004906FE"/>
    <w:rsid w:val="00491EC2"/>
    <w:rsid w:val="00491F96"/>
    <w:rsid w:val="0049241D"/>
    <w:rsid w:val="0049280C"/>
    <w:rsid w:val="004939D4"/>
    <w:rsid w:val="00493D6E"/>
    <w:rsid w:val="00494537"/>
    <w:rsid w:val="0049500E"/>
    <w:rsid w:val="00495FAD"/>
    <w:rsid w:val="004A0D11"/>
    <w:rsid w:val="004A1A37"/>
    <w:rsid w:val="004A31DE"/>
    <w:rsid w:val="004A4480"/>
    <w:rsid w:val="004A44AD"/>
    <w:rsid w:val="004A4CFA"/>
    <w:rsid w:val="004A51E7"/>
    <w:rsid w:val="004A686B"/>
    <w:rsid w:val="004B108B"/>
    <w:rsid w:val="004B1934"/>
    <w:rsid w:val="004B1C0C"/>
    <w:rsid w:val="004B278B"/>
    <w:rsid w:val="004B427C"/>
    <w:rsid w:val="004B5327"/>
    <w:rsid w:val="004B5965"/>
    <w:rsid w:val="004B632D"/>
    <w:rsid w:val="004B71FD"/>
    <w:rsid w:val="004B73E2"/>
    <w:rsid w:val="004C05A5"/>
    <w:rsid w:val="004C0EE1"/>
    <w:rsid w:val="004C1334"/>
    <w:rsid w:val="004C2C83"/>
    <w:rsid w:val="004C50C5"/>
    <w:rsid w:val="004C56FD"/>
    <w:rsid w:val="004C5B07"/>
    <w:rsid w:val="004C6D66"/>
    <w:rsid w:val="004C7987"/>
    <w:rsid w:val="004C7D84"/>
    <w:rsid w:val="004D20FB"/>
    <w:rsid w:val="004D264E"/>
    <w:rsid w:val="004D2688"/>
    <w:rsid w:val="004D38E9"/>
    <w:rsid w:val="004D4226"/>
    <w:rsid w:val="004D49BE"/>
    <w:rsid w:val="004D4AEB"/>
    <w:rsid w:val="004D5D00"/>
    <w:rsid w:val="004D699C"/>
    <w:rsid w:val="004E0D73"/>
    <w:rsid w:val="004E2773"/>
    <w:rsid w:val="004E3881"/>
    <w:rsid w:val="004E5130"/>
    <w:rsid w:val="004E51CD"/>
    <w:rsid w:val="004E5CCE"/>
    <w:rsid w:val="004E7F5F"/>
    <w:rsid w:val="004F03B7"/>
    <w:rsid w:val="004F060D"/>
    <w:rsid w:val="004F1AD2"/>
    <w:rsid w:val="004F300D"/>
    <w:rsid w:val="004F3AFF"/>
    <w:rsid w:val="004F3E55"/>
    <w:rsid w:val="004F412C"/>
    <w:rsid w:val="004F5CCB"/>
    <w:rsid w:val="004F5D83"/>
    <w:rsid w:val="00500A26"/>
    <w:rsid w:val="005036E4"/>
    <w:rsid w:val="0050396C"/>
    <w:rsid w:val="0050593F"/>
    <w:rsid w:val="00506FBE"/>
    <w:rsid w:val="005108E6"/>
    <w:rsid w:val="00512E46"/>
    <w:rsid w:val="00514636"/>
    <w:rsid w:val="00514C98"/>
    <w:rsid w:val="00515AD8"/>
    <w:rsid w:val="005164B4"/>
    <w:rsid w:val="0051765E"/>
    <w:rsid w:val="00521C9D"/>
    <w:rsid w:val="00521DC6"/>
    <w:rsid w:val="00523684"/>
    <w:rsid w:val="005253AB"/>
    <w:rsid w:val="005258A1"/>
    <w:rsid w:val="0052619A"/>
    <w:rsid w:val="00527C6E"/>
    <w:rsid w:val="00533D2F"/>
    <w:rsid w:val="005346E4"/>
    <w:rsid w:val="005353FC"/>
    <w:rsid w:val="005400B7"/>
    <w:rsid w:val="00542918"/>
    <w:rsid w:val="005444BA"/>
    <w:rsid w:val="005461DB"/>
    <w:rsid w:val="005466CE"/>
    <w:rsid w:val="0054746A"/>
    <w:rsid w:val="00550339"/>
    <w:rsid w:val="00550BBB"/>
    <w:rsid w:val="00551835"/>
    <w:rsid w:val="00551FE2"/>
    <w:rsid w:val="00552C1C"/>
    <w:rsid w:val="00552CD7"/>
    <w:rsid w:val="00555505"/>
    <w:rsid w:val="00555A64"/>
    <w:rsid w:val="00555CF4"/>
    <w:rsid w:val="00562CC9"/>
    <w:rsid w:val="005639A9"/>
    <w:rsid w:val="00563E79"/>
    <w:rsid w:val="00563F3A"/>
    <w:rsid w:val="00565420"/>
    <w:rsid w:val="00565FDB"/>
    <w:rsid w:val="00567EE9"/>
    <w:rsid w:val="005717B0"/>
    <w:rsid w:val="00571CB3"/>
    <w:rsid w:val="005728B7"/>
    <w:rsid w:val="00573D02"/>
    <w:rsid w:val="00574807"/>
    <w:rsid w:val="00577DE1"/>
    <w:rsid w:val="00581AA3"/>
    <w:rsid w:val="005826B1"/>
    <w:rsid w:val="00584D3D"/>
    <w:rsid w:val="00590F03"/>
    <w:rsid w:val="00593E60"/>
    <w:rsid w:val="00594F39"/>
    <w:rsid w:val="005A004D"/>
    <w:rsid w:val="005A30A8"/>
    <w:rsid w:val="005A40A5"/>
    <w:rsid w:val="005A41AE"/>
    <w:rsid w:val="005B24EC"/>
    <w:rsid w:val="005B5C50"/>
    <w:rsid w:val="005B71B8"/>
    <w:rsid w:val="005B74C8"/>
    <w:rsid w:val="005B7862"/>
    <w:rsid w:val="005C030E"/>
    <w:rsid w:val="005C0860"/>
    <w:rsid w:val="005C14F8"/>
    <w:rsid w:val="005C6A94"/>
    <w:rsid w:val="005C6EBA"/>
    <w:rsid w:val="005D05CA"/>
    <w:rsid w:val="005D121F"/>
    <w:rsid w:val="005D301D"/>
    <w:rsid w:val="005D715E"/>
    <w:rsid w:val="005E134B"/>
    <w:rsid w:val="005E3D25"/>
    <w:rsid w:val="005E56AB"/>
    <w:rsid w:val="005E6E61"/>
    <w:rsid w:val="005E6FED"/>
    <w:rsid w:val="005E7E87"/>
    <w:rsid w:val="005F00DC"/>
    <w:rsid w:val="005F1BF4"/>
    <w:rsid w:val="005F4420"/>
    <w:rsid w:val="005F45B7"/>
    <w:rsid w:val="005F61D5"/>
    <w:rsid w:val="005F74A9"/>
    <w:rsid w:val="005F7CA2"/>
    <w:rsid w:val="00600650"/>
    <w:rsid w:val="0060190E"/>
    <w:rsid w:val="00601BFA"/>
    <w:rsid w:val="006077E0"/>
    <w:rsid w:val="00614DCE"/>
    <w:rsid w:val="0061500D"/>
    <w:rsid w:val="006153A6"/>
    <w:rsid w:val="0061552D"/>
    <w:rsid w:val="00615594"/>
    <w:rsid w:val="00615D4D"/>
    <w:rsid w:val="00615EDE"/>
    <w:rsid w:val="0062266B"/>
    <w:rsid w:val="00623827"/>
    <w:rsid w:val="00623E23"/>
    <w:rsid w:val="00624018"/>
    <w:rsid w:val="006271B2"/>
    <w:rsid w:val="00627CFA"/>
    <w:rsid w:val="006305F2"/>
    <w:rsid w:val="006308FF"/>
    <w:rsid w:val="006309A1"/>
    <w:rsid w:val="0063224D"/>
    <w:rsid w:val="00634E46"/>
    <w:rsid w:val="00634FE4"/>
    <w:rsid w:val="00635696"/>
    <w:rsid w:val="0063583D"/>
    <w:rsid w:val="006363B5"/>
    <w:rsid w:val="00640D54"/>
    <w:rsid w:val="006416A5"/>
    <w:rsid w:val="00644FB1"/>
    <w:rsid w:val="0064521A"/>
    <w:rsid w:val="00645BB3"/>
    <w:rsid w:val="00650318"/>
    <w:rsid w:val="00652D0A"/>
    <w:rsid w:val="00653434"/>
    <w:rsid w:val="006545F9"/>
    <w:rsid w:val="00654CA5"/>
    <w:rsid w:val="00654DE1"/>
    <w:rsid w:val="00655FBD"/>
    <w:rsid w:val="00656AAE"/>
    <w:rsid w:val="00661522"/>
    <w:rsid w:val="00663301"/>
    <w:rsid w:val="00665E1F"/>
    <w:rsid w:val="0066632A"/>
    <w:rsid w:val="00666492"/>
    <w:rsid w:val="006668CA"/>
    <w:rsid w:val="00666B38"/>
    <w:rsid w:val="00666E98"/>
    <w:rsid w:val="00666FC0"/>
    <w:rsid w:val="0066763C"/>
    <w:rsid w:val="00670EE8"/>
    <w:rsid w:val="00671E13"/>
    <w:rsid w:val="0067285E"/>
    <w:rsid w:val="00673A06"/>
    <w:rsid w:val="0067467F"/>
    <w:rsid w:val="00674C14"/>
    <w:rsid w:val="0067532A"/>
    <w:rsid w:val="00677451"/>
    <w:rsid w:val="00680BAA"/>
    <w:rsid w:val="0068144C"/>
    <w:rsid w:val="00683476"/>
    <w:rsid w:val="00684D4E"/>
    <w:rsid w:val="0068610E"/>
    <w:rsid w:val="00686A6A"/>
    <w:rsid w:val="0068714D"/>
    <w:rsid w:val="0069105E"/>
    <w:rsid w:val="006924BB"/>
    <w:rsid w:val="006967A6"/>
    <w:rsid w:val="006A1D0B"/>
    <w:rsid w:val="006A29BB"/>
    <w:rsid w:val="006A2B79"/>
    <w:rsid w:val="006A3466"/>
    <w:rsid w:val="006A396F"/>
    <w:rsid w:val="006A5A33"/>
    <w:rsid w:val="006A5E0A"/>
    <w:rsid w:val="006A5F91"/>
    <w:rsid w:val="006B0ABE"/>
    <w:rsid w:val="006B1FC3"/>
    <w:rsid w:val="006B26C0"/>
    <w:rsid w:val="006B2A5A"/>
    <w:rsid w:val="006B2FC7"/>
    <w:rsid w:val="006B3019"/>
    <w:rsid w:val="006B3F80"/>
    <w:rsid w:val="006B57F8"/>
    <w:rsid w:val="006B72AB"/>
    <w:rsid w:val="006B7CA9"/>
    <w:rsid w:val="006C0491"/>
    <w:rsid w:val="006C0D33"/>
    <w:rsid w:val="006C0D7A"/>
    <w:rsid w:val="006C1E09"/>
    <w:rsid w:val="006C1E6B"/>
    <w:rsid w:val="006C2A67"/>
    <w:rsid w:val="006C523D"/>
    <w:rsid w:val="006C5C44"/>
    <w:rsid w:val="006C629B"/>
    <w:rsid w:val="006C6399"/>
    <w:rsid w:val="006C7317"/>
    <w:rsid w:val="006C751E"/>
    <w:rsid w:val="006C7554"/>
    <w:rsid w:val="006C7C67"/>
    <w:rsid w:val="006C7E2F"/>
    <w:rsid w:val="006D2988"/>
    <w:rsid w:val="006D3DF5"/>
    <w:rsid w:val="006D4732"/>
    <w:rsid w:val="006D4ECB"/>
    <w:rsid w:val="006D5597"/>
    <w:rsid w:val="006D5A8E"/>
    <w:rsid w:val="006D5DB1"/>
    <w:rsid w:val="006D5EBA"/>
    <w:rsid w:val="006E0851"/>
    <w:rsid w:val="006E2B4E"/>
    <w:rsid w:val="006E2F48"/>
    <w:rsid w:val="006E5CA6"/>
    <w:rsid w:val="006E61F3"/>
    <w:rsid w:val="006E656A"/>
    <w:rsid w:val="006F25FA"/>
    <w:rsid w:val="006F2838"/>
    <w:rsid w:val="006F3A52"/>
    <w:rsid w:val="006F442E"/>
    <w:rsid w:val="006F4DDE"/>
    <w:rsid w:val="006F5528"/>
    <w:rsid w:val="006F7093"/>
    <w:rsid w:val="006F7A96"/>
    <w:rsid w:val="00700469"/>
    <w:rsid w:val="00700655"/>
    <w:rsid w:val="00700FB6"/>
    <w:rsid w:val="00702739"/>
    <w:rsid w:val="007037C5"/>
    <w:rsid w:val="00710462"/>
    <w:rsid w:val="00710995"/>
    <w:rsid w:val="00710C4D"/>
    <w:rsid w:val="00712E94"/>
    <w:rsid w:val="0071340E"/>
    <w:rsid w:val="0071493B"/>
    <w:rsid w:val="00715092"/>
    <w:rsid w:val="00715EAF"/>
    <w:rsid w:val="00715FA1"/>
    <w:rsid w:val="0071608E"/>
    <w:rsid w:val="00716330"/>
    <w:rsid w:val="00716B7C"/>
    <w:rsid w:val="00717C28"/>
    <w:rsid w:val="00717F04"/>
    <w:rsid w:val="00724AC8"/>
    <w:rsid w:val="00726BDB"/>
    <w:rsid w:val="00727BB0"/>
    <w:rsid w:val="007308AF"/>
    <w:rsid w:val="0073157F"/>
    <w:rsid w:val="00731B89"/>
    <w:rsid w:val="00731C16"/>
    <w:rsid w:val="00731F8A"/>
    <w:rsid w:val="007334FA"/>
    <w:rsid w:val="0073546E"/>
    <w:rsid w:val="0073705C"/>
    <w:rsid w:val="007401E9"/>
    <w:rsid w:val="007411B4"/>
    <w:rsid w:val="0074236C"/>
    <w:rsid w:val="00742702"/>
    <w:rsid w:val="00744B81"/>
    <w:rsid w:val="00744BF6"/>
    <w:rsid w:val="00745731"/>
    <w:rsid w:val="007474E7"/>
    <w:rsid w:val="0075041D"/>
    <w:rsid w:val="00752A31"/>
    <w:rsid w:val="00752F5E"/>
    <w:rsid w:val="007531F2"/>
    <w:rsid w:val="0075367B"/>
    <w:rsid w:val="007548BD"/>
    <w:rsid w:val="00754C71"/>
    <w:rsid w:val="007550B6"/>
    <w:rsid w:val="0075764B"/>
    <w:rsid w:val="0076074C"/>
    <w:rsid w:val="00760E48"/>
    <w:rsid w:val="00761437"/>
    <w:rsid w:val="0076172E"/>
    <w:rsid w:val="00761748"/>
    <w:rsid w:val="00761A10"/>
    <w:rsid w:val="00762DC1"/>
    <w:rsid w:val="00763E8F"/>
    <w:rsid w:val="007649DA"/>
    <w:rsid w:val="00764B0F"/>
    <w:rsid w:val="00765E8B"/>
    <w:rsid w:val="00767B59"/>
    <w:rsid w:val="007714A2"/>
    <w:rsid w:val="0077161E"/>
    <w:rsid w:val="00771A1B"/>
    <w:rsid w:val="0077215C"/>
    <w:rsid w:val="00773FCA"/>
    <w:rsid w:val="0077438C"/>
    <w:rsid w:val="00775C0C"/>
    <w:rsid w:val="00777130"/>
    <w:rsid w:val="007815F3"/>
    <w:rsid w:val="007831A8"/>
    <w:rsid w:val="0078503F"/>
    <w:rsid w:val="00785A07"/>
    <w:rsid w:val="00785AF9"/>
    <w:rsid w:val="0078772F"/>
    <w:rsid w:val="00791560"/>
    <w:rsid w:val="00791B99"/>
    <w:rsid w:val="00791C03"/>
    <w:rsid w:val="00792FC4"/>
    <w:rsid w:val="00794718"/>
    <w:rsid w:val="00794AEC"/>
    <w:rsid w:val="00795676"/>
    <w:rsid w:val="00795BB4"/>
    <w:rsid w:val="007976D3"/>
    <w:rsid w:val="007A10C9"/>
    <w:rsid w:val="007A2E0C"/>
    <w:rsid w:val="007A366A"/>
    <w:rsid w:val="007A45AD"/>
    <w:rsid w:val="007A6A07"/>
    <w:rsid w:val="007A6FA3"/>
    <w:rsid w:val="007A7735"/>
    <w:rsid w:val="007A7887"/>
    <w:rsid w:val="007A7F52"/>
    <w:rsid w:val="007B1160"/>
    <w:rsid w:val="007B352F"/>
    <w:rsid w:val="007B445D"/>
    <w:rsid w:val="007B5613"/>
    <w:rsid w:val="007B6494"/>
    <w:rsid w:val="007B65FD"/>
    <w:rsid w:val="007B6D85"/>
    <w:rsid w:val="007C01DD"/>
    <w:rsid w:val="007C02F7"/>
    <w:rsid w:val="007C0E9B"/>
    <w:rsid w:val="007C2AAA"/>
    <w:rsid w:val="007C4782"/>
    <w:rsid w:val="007C4D95"/>
    <w:rsid w:val="007C5723"/>
    <w:rsid w:val="007C6B01"/>
    <w:rsid w:val="007C6EBF"/>
    <w:rsid w:val="007C7C7B"/>
    <w:rsid w:val="007D0B62"/>
    <w:rsid w:val="007D2957"/>
    <w:rsid w:val="007D43A2"/>
    <w:rsid w:val="007D55CA"/>
    <w:rsid w:val="007D6E19"/>
    <w:rsid w:val="007E0748"/>
    <w:rsid w:val="007E0D54"/>
    <w:rsid w:val="007E1CD0"/>
    <w:rsid w:val="007E31D0"/>
    <w:rsid w:val="007E3DE5"/>
    <w:rsid w:val="007E4D58"/>
    <w:rsid w:val="007E54AB"/>
    <w:rsid w:val="007E7630"/>
    <w:rsid w:val="007E78E9"/>
    <w:rsid w:val="007F1E36"/>
    <w:rsid w:val="007F2350"/>
    <w:rsid w:val="007F25F6"/>
    <w:rsid w:val="007F2D65"/>
    <w:rsid w:val="007F4456"/>
    <w:rsid w:val="007F5975"/>
    <w:rsid w:val="007F6F6C"/>
    <w:rsid w:val="007F6F88"/>
    <w:rsid w:val="007F7A4B"/>
    <w:rsid w:val="0080292D"/>
    <w:rsid w:val="008045CE"/>
    <w:rsid w:val="0080517F"/>
    <w:rsid w:val="0080673B"/>
    <w:rsid w:val="00806F30"/>
    <w:rsid w:val="008079EC"/>
    <w:rsid w:val="008104E4"/>
    <w:rsid w:val="008106BC"/>
    <w:rsid w:val="00811805"/>
    <w:rsid w:val="008126DC"/>
    <w:rsid w:val="008134C7"/>
    <w:rsid w:val="008135CF"/>
    <w:rsid w:val="00815427"/>
    <w:rsid w:val="00815878"/>
    <w:rsid w:val="00815AC4"/>
    <w:rsid w:val="00816CFE"/>
    <w:rsid w:val="00822261"/>
    <w:rsid w:val="00822512"/>
    <w:rsid w:val="00825B3F"/>
    <w:rsid w:val="0082639D"/>
    <w:rsid w:val="00826547"/>
    <w:rsid w:val="0083114A"/>
    <w:rsid w:val="00831732"/>
    <w:rsid w:val="00831A05"/>
    <w:rsid w:val="00833B43"/>
    <w:rsid w:val="00834A4F"/>
    <w:rsid w:val="008356D6"/>
    <w:rsid w:val="00835B82"/>
    <w:rsid w:val="00835C9F"/>
    <w:rsid w:val="00835E97"/>
    <w:rsid w:val="008366BE"/>
    <w:rsid w:val="00837153"/>
    <w:rsid w:val="008375D8"/>
    <w:rsid w:val="0083777E"/>
    <w:rsid w:val="008405F1"/>
    <w:rsid w:val="0084207A"/>
    <w:rsid w:val="00842B00"/>
    <w:rsid w:val="00844228"/>
    <w:rsid w:val="008442EE"/>
    <w:rsid w:val="00845961"/>
    <w:rsid w:val="00845D67"/>
    <w:rsid w:val="00846590"/>
    <w:rsid w:val="00846D0C"/>
    <w:rsid w:val="00850E02"/>
    <w:rsid w:val="00852795"/>
    <w:rsid w:val="008548F9"/>
    <w:rsid w:val="00854AAF"/>
    <w:rsid w:val="00856D8A"/>
    <w:rsid w:val="00857062"/>
    <w:rsid w:val="008573E8"/>
    <w:rsid w:val="008605D8"/>
    <w:rsid w:val="00861219"/>
    <w:rsid w:val="00862334"/>
    <w:rsid w:val="00862B56"/>
    <w:rsid w:val="0086323C"/>
    <w:rsid w:val="00863DBD"/>
    <w:rsid w:val="00865144"/>
    <w:rsid w:val="0086558D"/>
    <w:rsid w:val="008672ED"/>
    <w:rsid w:val="0086771C"/>
    <w:rsid w:val="008707BA"/>
    <w:rsid w:val="00870F29"/>
    <w:rsid w:val="008710D8"/>
    <w:rsid w:val="008717CA"/>
    <w:rsid w:val="00871844"/>
    <w:rsid w:val="008725B9"/>
    <w:rsid w:val="00873D6D"/>
    <w:rsid w:val="008759C8"/>
    <w:rsid w:val="00876A65"/>
    <w:rsid w:val="008806EF"/>
    <w:rsid w:val="008807CF"/>
    <w:rsid w:val="00880DA4"/>
    <w:rsid w:val="00881B07"/>
    <w:rsid w:val="00881CAD"/>
    <w:rsid w:val="00882323"/>
    <w:rsid w:val="00883F87"/>
    <w:rsid w:val="00883FF9"/>
    <w:rsid w:val="0088415B"/>
    <w:rsid w:val="00885D5D"/>
    <w:rsid w:val="00885FB8"/>
    <w:rsid w:val="00885FD5"/>
    <w:rsid w:val="00887490"/>
    <w:rsid w:val="00887560"/>
    <w:rsid w:val="00890305"/>
    <w:rsid w:val="0089142F"/>
    <w:rsid w:val="0089254B"/>
    <w:rsid w:val="0089356B"/>
    <w:rsid w:val="0089400D"/>
    <w:rsid w:val="0089666B"/>
    <w:rsid w:val="00896AA7"/>
    <w:rsid w:val="0089777C"/>
    <w:rsid w:val="008A11B6"/>
    <w:rsid w:val="008A33CF"/>
    <w:rsid w:val="008A52A5"/>
    <w:rsid w:val="008A73D1"/>
    <w:rsid w:val="008B0F86"/>
    <w:rsid w:val="008B1370"/>
    <w:rsid w:val="008B3878"/>
    <w:rsid w:val="008B6391"/>
    <w:rsid w:val="008B70CE"/>
    <w:rsid w:val="008B7320"/>
    <w:rsid w:val="008C09C9"/>
    <w:rsid w:val="008C09DE"/>
    <w:rsid w:val="008C14D5"/>
    <w:rsid w:val="008C1D4C"/>
    <w:rsid w:val="008C29EA"/>
    <w:rsid w:val="008C3137"/>
    <w:rsid w:val="008C32EC"/>
    <w:rsid w:val="008C3721"/>
    <w:rsid w:val="008C5275"/>
    <w:rsid w:val="008C5C27"/>
    <w:rsid w:val="008C5D59"/>
    <w:rsid w:val="008C65DF"/>
    <w:rsid w:val="008D066F"/>
    <w:rsid w:val="008D19A8"/>
    <w:rsid w:val="008D3784"/>
    <w:rsid w:val="008D3B12"/>
    <w:rsid w:val="008D4CBE"/>
    <w:rsid w:val="008D537F"/>
    <w:rsid w:val="008D55E9"/>
    <w:rsid w:val="008D5850"/>
    <w:rsid w:val="008D7EA9"/>
    <w:rsid w:val="008E0AEB"/>
    <w:rsid w:val="008E1206"/>
    <w:rsid w:val="008E1D53"/>
    <w:rsid w:val="008E2E3A"/>
    <w:rsid w:val="008E5247"/>
    <w:rsid w:val="008E549F"/>
    <w:rsid w:val="008E6408"/>
    <w:rsid w:val="008E6AEB"/>
    <w:rsid w:val="008F0241"/>
    <w:rsid w:val="008F1C55"/>
    <w:rsid w:val="008F39AB"/>
    <w:rsid w:val="008F3BC2"/>
    <w:rsid w:val="008F5C62"/>
    <w:rsid w:val="008F5EFA"/>
    <w:rsid w:val="008F64D3"/>
    <w:rsid w:val="008F652C"/>
    <w:rsid w:val="00902B50"/>
    <w:rsid w:val="00907A73"/>
    <w:rsid w:val="00907BCA"/>
    <w:rsid w:val="00907C5E"/>
    <w:rsid w:val="00911211"/>
    <w:rsid w:val="0091154D"/>
    <w:rsid w:val="009120E3"/>
    <w:rsid w:val="00917B52"/>
    <w:rsid w:val="009208A4"/>
    <w:rsid w:val="00921585"/>
    <w:rsid w:val="00922F2D"/>
    <w:rsid w:val="00923A05"/>
    <w:rsid w:val="0092436F"/>
    <w:rsid w:val="009258C6"/>
    <w:rsid w:val="0093009E"/>
    <w:rsid w:val="009311CF"/>
    <w:rsid w:val="00931C01"/>
    <w:rsid w:val="00933461"/>
    <w:rsid w:val="009341FF"/>
    <w:rsid w:val="00934616"/>
    <w:rsid w:val="0093615A"/>
    <w:rsid w:val="00936C27"/>
    <w:rsid w:val="009372A6"/>
    <w:rsid w:val="0093737C"/>
    <w:rsid w:val="00937434"/>
    <w:rsid w:val="00937A1F"/>
    <w:rsid w:val="00937D10"/>
    <w:rsid w:val="009401D2"/>
    <w:rsid w:val="0094052A"/>
    <w:rsid w:val="0094144B"/>
    <w:rsid w:val="00942118"/>
    <w:rsid w:val="00944E56"/>
    <w:rsid w:val="00945A08"/>
    <w:rsid w:val="00945E89"/>
    <w:rsid w:val="00946408"/>
    <w:rsid w:val="00947DD7"/>
    <w:rsid w:val="00950424"/>
    <w:rsid w:val="00950E6D"/>
    <w:rsid w:val="0095111B"/>
    <w:rsid w:val="00953C3A"/>
    <w:rsid w:val="0096152B"/>
    <w:rsid w:val="0096187C"/>
    <w:rsid w:val="00963839"/>
    <w:rsid w:val="0096394E"/>
    <w:rsid w:val="0096585E"/>
    <w:rsid w:val="00965DE3"/>
    <w:rsid w:val="00966783"/>
    <w:rsid w:val="009700C0"/>
    <w:rsid w:val="009707ED"/>
    <w:rsid w:val="00973834"/>
    <w:rsid w:val="00974ED7"/>
    <w:rsid w:val="00974FCC"/>
    <w:rsid w:val="009752F6"/>
    <w:rsid w:val="00976AE4"/>
    <w:rsid w:val="00977382"/>
    <w:rsid w:val="00980C31"/>
    <w:rsid w:val="00980F7A"/>
    <w:rsid w:val="00981656"/>
    <w:rsid w:val="009820CC"/>
    <w:rsid w:val="0098456C"/>
    <w:rsid w:val="009851C8"/>
    <w:rsid w:val="00985868"/>
    <w:rsid w:val="00986A0A"/>
    <w:rsid w:val="00986D19"/>
    <w:rsid w:val="00987C04"/>
    <w:rsid w:val="009905B8"/>
    <w:rsid w:val="00990922"/>
    <w:rsid w:val="009919B3"/>
    <w:rsid w:val="00992521"/>
    <w:rsid w:val="00993217"/>
    <w:rsid w:val="00993ACA"/>
    <w:rsid w:val="0099567D"/>
    <w:rsid w:val="00996EE7"/>
    <w:rsid w:val="00997897"/>
    <w:rsid w:val="009A01FE"/>
    <w:rsid w:val="009A0E20"/>
    <w:rsid w:val="009A15DB"/>
    <w:rsid w:val="009A406E"/>
    <w:rsid w:val="009B20A2"/>
    <w:rsid w:val="009B45C5"/>
    <w:rsid w:val="009B6FD1"/>
    <w:rsid w:val="009B7A9E"/>
    <w:rsid w:val="009B7CEB"/>
    <w:rsid w:val="009C2D0F"/>
    <w:rsid w:val="009C2E13"/>
    <w:rsid w:val="009C40E7"/>
    <w:rsid w:val="009C4955"/>
    <w:rsid w:val="009C4C56"/>
    <w:rsid w:val="009C5184"/>
    <w:rsid w:val="009C529E"/>
    <w:rsid w:val="009C6BD3"/>
    <w:rsid w:val="009D1097"/>
    <w:rsid w:val="009D23CA"/>
    <w:rsid w:val="009D3603"/>
    <w:rsid w:val="009D5F99"/>
    <w:rsid w:val="009D6A2A"/>
    <w:rsid w:val="009D6F68"/>
    <w:rsid w:val="009E03F4"/>
    <w:rsid w:val="009E0829"/>
    <w:rsid w:val="009E1675"/>
    <w:rsid w:val="009E3286"/>
    <w:rsid w:val="009E3687"/>
    <w:rsid w:val="009E6726"/>
    <w:rsid w:val="009E6CDA"/>
    <w:rsid w:val="009E7600"/>
    <w:rsid w:val="009E7C2B"/>
    <w:rsid w:val="009F037B"/>
    <w:rsid w:val="009F1AD7"/>
    <w:rsid w:val="009F2A3D"/>
    <w:rsid w:val="009F3641"/>
    <w:rsid w:val="009F4D0E"/>
    <w:rsid w:val="009F75F4"/>
    <w:rsid w:val="00A022B9"/>
    <w:rsid w:val="00A033D3"/>
    <w:rsid w:val="00A03584"/>
    <w:rsid w:val="00A035D6"/>
    <w:rsid w:val="00A03FCF"/>
    <w:rsid w:val="00A0430E"/>
    <w:rsid w:val="00A06143"/>
    <w:rsid w:val="00A068CA"/>
    <w:rsid w:val="00A10B6B"/>
    <w:rsid w:val="00A1198D"/>
    <w:rsid w:val="00A11AE3"/>
    <w:rsid w:val="00A11D4D"/>
    <w:rsid w:val="00A11E41"/>
    <w:rsid w:val="00A13C0F"/>
    <w:rsid w:val="00A14654"/>
    <w:rsid w:val="00A157B0"/>
    <w:rsid w:val="00A1602D"/>
    <w:rsid w:val="00A233BA"/>
    <w:rsid w:val="00A23624"/>
    <w:rsid w:val="00A2367D"/>
    <w:rsid w:val="00A24C8D"/>
    <w:rsid w:val="00A26591"/>
    <w:rsid w:val="00A27A28"/>
    <w:rsid w:val="00A317EE"/>
    <w:rsid w:val="00A33BCC"/>
    <w:rsid w:val="00A3671D"/>
    <w:rsid w:val="00A36DF4"/>
    <w:rsid w:val="00A40A83"/>
    <w:rsid w:val="00A42C88"/>
    <w:rsid w:val="00A42CB2"/>
    <w:rsid w:val="00A4398A"/>
    <w:rsid w:val="00A43E62"/>
    <w:rsid w:val="00A46104"/>
    <w:rsid w:val="00A47B58"/>
    <w:rsid w:val="00A501C6"/>
    <w:rsid w:val="00A50DF6"/>
    <w:rsid w:val="00A51020"/>
    <w:rsid w:val="00A51740"/>
    <w:rsid w:val="00A52241"/>
    <w:rsid w:val="00A52452"/>
    <w:rsid w:val="00A529FF"/>
    <w:rsid w:val="00A53D1A"/>
    <w:rsid w:val="00A551EF"/>
    <w:rsid w:val="00A55AA2"/>
    <w:rsid w:val="00A60475"/>
    <w:rsid w:val="00A609E4"/>
    <w:rsid w:val="00A61AD3"/>
    <w:rsid w:val="00A61C10"/>
    <w:rsid w:val="00A6220F"/>
    <w:rsid w:val="00A664C2"/>
    <w:rsid w:val="00A665C9"/>
    <w:rsid w:val="00A6751A"/>
    <w:rsid w:val="00A70C08"/>
    <w:rsid w:val="00A71677"/>
    <w:rsid w:val="00A7207D"/>
    <w:rsid w:val="00A7329A"/>
    <w:rsid w:val="00A73489"/>
    <w:rsid w:val="00A743CB"/>
    <w:rsid w:val="00A752FD"/>
    <w:rsid w:val="00A75A34"/>
    <w:rsid w:val="00A76AE2"/>
    <w:rsid w:val="00A76F79"/>
    <w:rsid w:val="00A77CAB"/>
    <w:rsid w:val="00A8086D"/>
    <w:rsid w:val="00A82BD2"/>
    <w:rsid w:val="00A83E3B"/>
    <w:rsid w:val="00A842A2"/>
    <w:rsid w:val="00A85559"/>
    <w:rsid w:val="00A85C6E"/>
    <w:rsid w:val="00A85EE4"/>
    <w:rsid w:val="00A86CDD"/>
    <w:rsid w:val="00A86D26"/>
    <w:rsid w:val="00A86DB2"/>
    <w:rsid w:val="00A9021C"/>
    <w:rsid w:val="00A90233"/>
    <w:rsid w:val="00A92540"/>
    <w:rsid w:val="00A94040"/>
    <w:rsid w:val="00A96312"/>
    <w:rsid w:val="00A97848"/>
    <w:rsid w:val="00AA0B60"/>
    <w:rsid w:val="00AA0DAB"/>
    <w:rsid w:val="00AA2DB4"/>
    <w:rsid w:val="00AA5A2C"/>
    <w:rsid w:val="00AA6A2B"/>
    <w:rsid w:val="00AA7B4F"/>
    <w:rsid w:val="00AA7F44"/>
    <w:rsid w:val="00AB09D7"/>
    <w:rsid w:val="00AB0A1C"/>
    <w:rsid w:val="00AB1477"/>
    <w:rsid w:val="00AB224E"/>
    <w:rsid w:val="00AB37CE"/>
    <w:rsid w:val="00AB48A6"/>
    <w:rsid w:val="00AB5A0A"/>
    <w:rsid w:val="00AB66EB"/>
    <w:rsid w:val="00AB6C45"/>
    <w:rsid w:val="00AC07FE"/>
    <w:rsid w:val="00AC1F93"/>
    <w:rsid w:val="00AC322D"/>
    <w:rsid w:val="00AC631C"/>
    <w:rsid w:val="00AC70B3"/>
    <w:rsid w:val="00AD0587"/>
    <w:rsid w:val="00AD06B5"/>
    <w:rsid w:val="00AD43BB"/>
    <w:rsid w:val="00AD4D33"/>
    <w:rsid w:val="00AD552E"/>
    <w:rsid w:val="00AD6250"/>
    <w:rsid w:val="00AD7439"/>
    <w:rsid w:val="00AE22BF"/>
    <w:rsid w:val="00AE3F6F"/>
    <w:rsid w:val="00AE426B"/>
    <w:rsid w:val="00AE5672"/>
    <w:rsid w:val="00AE5AF4"/>
    <w:rsid w:val="00AE6525"/>
    <w:rsid w:val="00AE672F"/>
    <w:rsid w:val="00AE7615"/>
    <w:rsid w:val="00AE7BA1"/>
    <w:rsid w:val="00AF39E7"/>
    <w:rsid w:val="00AF6390"/>
    <w:rsid w:val="00AF782C"/>
    <w:rsid w:val="00AF7DA4"/>
    <w:rsid w:val="00B0086A"/>
    <w:rsid w:val="00B01540"/>
    <w:rsid w:val="00B01D6C"/>
    <w:rsid w:val="00B02118"/>
    <w:rsid w:val="00B02A5B"/>
    <w:rsid w:val="00B02F1E"/>
    <w:rsid w:val="00B0319F"/>
    <w:rsid w:val="00B03555"/>
    <w:rsid w:val="00B0500E"/>
    <w:rsid w:val="00B05F70"/>
    <w:rsid w:val="00B07F7A"/>
    <w:rsid w:val="00B11390"/>
    <w:rsid w:val="00B118BF"/>
    <w:rsid w:val="00B12928"/>
    <w:rsid w:val="00B12D17"/>
    <w:rsid w:val="00B13012"/>
    <w:rsid w:val="00B151D3"/>
    <w:rsid w:val="00B17A25"/>
    <w:rsid w:val="00B2033D"/>
    <w:rsid w:val="00B21A02"/>
    <w:rsid w:val="00B2388A"/>
    <w:rsid w:val="00B27897"/>
    <w:rsid w:val="00B27CA6"/>
    <w:rsid w:val="00B27E1F"/>
    <w:rsid w:val="00B311E3"/>
    <w:rsid w:val="00B314B7"/>
    <w:rsid w:val="00B32144"/>
    <w:rsid w:val="00B35016"/>
    <w:rsid w:val="00B36A28"/>
    <w:rsid w:val="00B37045"/>
    <w:rsid w:val="00B377C9"/>
    <w:rsid w:val="00B377FE"/>
    <w:rsid w:val="00B4070E"/>
    <w:rsid w:val="00B40AF3"/>
    <w:rsid w:val="00B42104"/>
    <w:rsid w:val="00B444D1"/>
    <w:rsid w:val="00B455CF"/>
    <w:rsid w:val="00B45D64"/>
    <w:rsid w:val="00B46675"/>
    <w:rsid w:val="00B504FB"/>
    <w:rsid w:val="00B526E6"/>
    <w:rsid w:val="00B52EB5"/>
    <w:rsid w:val="00B55114"/>
    <w:rsid w:val="00B55C43"/>
    <w:rsid w:val="00B572DD"/>
    <w:rsid w:val="00B602E8"/>
    <w:rsid w:val="00B60E96"/>
    <w:rsid w:val="00B625E5"/>
    <w:rsid w:val="00B62C2B"/>
    <w:rsid w:val="00B62CBB"/>
    <w:rsid w:val="00B63959"/>
    <w:rsid w:val="00B63CF2"/>
    <w:rsid w:val="00B64C54"/>
    <w:rsid w:val="00B6589E"/>
    <w:rsid w:val="00B660A3"/>
    <w:rsid w:val="00B672F5"/>
    <w:rsid w:val="00B70B55"/>
    <w:rsid w:val="00B71258"/>
    <w:rsid w:val="00B71F14"/>
    <w:rsid w:val="00B7203C"/>
    <w:rsid w:val="00B7616A"/>
    <w:rsid w:val="00B76986"/>
    <w:rsid w:val="00B7710F"/>
    <w:rsid w:val="00B808EE"/>
    <w:rsid w:val="00B80DE8"/>
    <w:rsid w:val="00B8346E"/>
    <w:rsid w:val="00B84206"/>
    <w:rsid w:val="00B84EDE"/>
    <w:rsid w:val="00B868AA"/>
    <w:rsid w:val="00B87C90"/>
    <w:rsid w:val="00B87E0A"/>
    <w:rsid w:val="00B90C66"/>
    <w:rsid w:val="00B9120F"/>
    <w:rsid w:val="00B913A3"/>
    <w:rsid w:val="00B94651"/>
    <w:rsid w:val="00B9680D"/>
    <w:rsid w:val="00BA0C76"/>
    <w:rsid w:val="00BA10C7"/>
    <w:rsid w:val="00BA13DE"/>
    <w:rsid w:val="00BA2BB7"/>
    <w:rsid w:val="00BA3D48"/>
    <w:rsid w:val="00BA4C6C"/>
    <w:rsid w:val="00BA63A6"/>
    <w:rsid w:val="00BA69D0"/>
    <w:rsid w:val="00BB0C9A"/>
    <w:rsid w:val="00BB1AB0"/>
    <w:rsid w:val="00BB29E0"/>
    <w:rsid w:val="00BB49F1"/>
    <w:rsid w:val="00BB5267"/>
    <w:rsid w:val="00BB58D1"/>
    <w:rsid w:val="00BC2305"/>
    <w:rsid w:val="00BC2AD0"/>
    <w:rsid w:val="00BC338C"/>
    <w:rsid w:val="00BC4C9D"/>
    <w:rsid w:val="00BC5718"/>
    <w:rsid w:val="00BD0F97"/>
    <w:rsid w:val="00BD12CC"/>
    <w:rsid w:val="00BD13EE"/>
    <w:rsid w:val="00BD3300"/>
    <w:rsid w:val="00BD3930"/>
    <w:rsid w:val="00BD5706"/>
    <w:rsid w:val="00BD62ED"/>
    <w:rsid w:val="00BD654D"/>
    <w:rsid w:val="00BD7004"/>
    <w:rsid w:val="00BE22FE"/>
    <w:rsid w:val="00BE3686"/>
    <w:rsid w:val="00BE4404"/>
    <w:rsid w:val="00BE49AB"/>
    <w:rsid w:val="00BE5D86"/>
    <w:rsid w:val="00BE65CB"/>
    <w:rsid w:val="00BE74D0"/>
    <w:rsid w:val="00BF07B7"/>
    <w:rsid w:val="00BF0EE2"/>
    <w:rsid w:val="00BF11D8"/>
    <w:rsid w:val="00BF1DDC"/>
    <w:rsid w:val="00BF3719"/>
    <w:rsid w:val="00BF3D47"/>
    <w:rsid w:val="00BF5F01"/>
    <w:rsid w:val="00BF7472"/>
    <w:rsid w:val="00C0029A"/>
    <w:rsid w:val="00C0098D"/>
    <w:rsid w:val="00C00E76"/>
    <w:rsid w:val="00C02689"/>
    <w:rsid w:val="00C02B5C"/>
    <w:rsid w:val="00C03666"/>
    <w:rsid w:val="00C047E9"/>
    <w:rsid w:val="00C06CC5"/>
    <w:rsid w:val="00C076EA"/>
    <w:rsid w:val="00C10307"/>
    <w:rsid w:val="00C10F89"/>
    <w:rsid w:val="00C11EA4"/>
    <w:rsid w:val="00C13293"/>
    <w:rsid w:val="00C13DB4"/>
    <w:rsid w:val="00C157C4"/>
    <w:rsid w:val="00C163C2"/>
    <w:rsid w:val="00C16F2F"/>
    <w:rsid w:val="00C20DBB"/>
    <w:rsid w:val="00C21040"/>
    <w:rsid w:val="00C22247"/>
    <w:rsid w:val="00C2292D"/>
    <w:rsid w:val="00C23A91"/>
    <w:rsid w:val="00C23AAD"/>
    <w:rsid w:val="00C24C84"/>
    <w:rsid w:val="00C2574B"/>
    <w:rsid w:val="00C2687B"/>
    <w:rsid w:val="00C30F00"/>
    <w:rsid w:val="00C3114D"/>
    <w:rsid w:val="00C333C6"/>
    <w:rsid w:val="00C3479B"/>
    <w:rsid w:val="00C35919"/>
    <w:rsid w:val="00C36B76"/>
    <w:rsid w:val="00C36D52"/>
    <w:rsid w:val="00C37649"/>
    <w:rsid w:val="00C42C57"/>
    <w:rsid w:val="00C445D9"/>
    <w:rsid w:val="00C44FEC"/>
    <w:rsid w:val="00C50008"/>
    <w:rsid w:val="00C50775"/>
    <w:rsid w:val="00C50A01"/>
    <w:rsid w:val="00C516E1"/>
    <w:rsid w:val="00C5286A"/>
    <w:rsid w:val="00C53215"/>
    <w:rsid w:val="00C538CA"/>
    <w:rsid w:val="00C53949"/>
    <w:rsid w:val="00C53ACA"/>
    <w:rsid w:val="00C5445F"/>
    <w:rsid w:val="00C5454C"/>
    <w:rsid w:val="00C57690"/>
    <w:rsid w:val="00C57AF9"/>
    <w:rsid w:val="00C61ED2"/>
    <w:rsid w:val="00C629CF"/>
    <w:rsid w:val="00C63C47"/>
    <w:rsid w:val="00C63D44"/>
    <w:rsid w:val="00C66389"/>
    <w:rsid w:val="00C71D87"/>
    <w:rsid w:val="00C73AEA"/>
    <w:rsid w:val="00C77174"/>
    <w:rsid w:val="00C773AA"/>
    <w:rsid w:val="00C80C18"/>
    <w:rsid w:val="00C81485"/>
    <w:rsid w:val="00C81975"/>
    <w:rsid w:val="00C81A59"/>
    <w:rsid w:val="00C83802"/>
    <w:rsid w:val="00C846F1"/>
    <w:rsid w:val="00C848E0"/>
    <w:rsid w:val="00C851A6"/>
    <w:rsid w:val="00C8591E"/>
    <w:rsid w:val="00C8795B"/>
    <w:rsid w:val="00C911B1"/>
    <w:rsid w:val="00C91FFA"/>
    <w:rsid w:val="00C92027"/>
    <w:rsid w:val="00C923ED"/>
    <w:rsid w:val="00C94173"/>
    <w:rsid w:val="00C94215"/>
    <w:rsid w:val="00C95ED8"/>
    <w:rsid w:val="00C96D61"/>
    <w:rsid w:val="00CA03D1"/>
    <w:rsid w:val="00CA1289"/>
    <w:rsid w:val="00CA287B"/>
    <w:rsid w:val="00CA6650"/>
    <w:rsid w:val="00CA7418"/>
    <w:rsid w:val="00CB054F"/>
    <w:rsid w:val="00CB0835"/>
    <w:rsid w:val="00CB09F2"/>
    <w:rsid w:val="00CB1914"/>
    <w:rsid w:val="00CB24A1"/>
    <w:rsid w:val="00CB276B"/>
    <w:rsid w:val="00CB5DEF"/>
    <w:rsid w:val="00CB660A"/>
    <w:rsid w:val="00CB7C18"/>
    <w:rsid w:val="00CB7C2F"/>
    <w:rsid w:val="00CC0E9B"/>
    <w:rsid w:val="00CC2025"/>
    <w:rsid w:val="00CC345F"/>
    <w:rsid w:val="00CC5FC4"/>
    <w:rsid w:val="00CC6666"/>
    <w:rsid w:val="00CC6C0D"/>
    <w:rsid w:val="00CC7F66"/>
    <w:rsid w:val="00CD0335"/>
    <w:rsid w:val="00CD07E7"/>
    <w:rsid w:val="00CD2453"/>
    <w:rsid w:val="00CD2F13"/>
    <w:rsid w:val="00CD51D7"/>
    <w:rsid w:val="00CD6BFF"/>
    <w:rsid w:val="00CD7837"/>
    <w:rsid w:val="00CE0D99"/>
    <w:rsid w:val="00CE1CFD"/>
    <w:rsid w:val="00CE461B"/>
    <w:rsid w:val="00CE5A80"/>
    <w:rsid w:val="00CE5E3D"/>
    <w:rsid w:val="00CE6EB8"/>
    <w:rsid w:val="00CE7EA8"/>
    <w:rsid w:val="00CF24D5"/>
    <w:rsid w:val="00CF2FD1"/>
    <w:rsid w:val="00CF34C7"/>
    <w:rsid w:val="00CF39E9"/>
    <w:rsid w:val="00CF3AF9"/>
    <w:rsid w:val="00CF44FB"/>
    <w:rsid w:val="00CF4EF1"/>
    <w:rsid w:val="00CF5613"/>
    <w:rsid w:val="00CF6873"/>
    <w:rsid w:val="00CF6DBC"/>
    <w:rsid w:val="00D0014E"/>
    <w:rsid w:val="00D028FC"/>
    <w:rsid w:val="00D02CE5"/>
    <w:rsid w:val="00D0479F"/>
    <w:rsid w:val="00D04E75"/>
    <w:rsid w:val="00D0535C"/>
    <w:rsid w:val="00D05C54"/>
    <w:rsid w:val="00D07575"/>
    <w:rsid w:val="00D10329"/>
    <w:rsid w:val="00D11776"/>
    <w:rsid w:val="00D11B2A"/>
    <w:rsid w:val="00D11F72"/>
    <w:rsid w:val="00D12BD6"/>
    <w:rsid w:val="00D134E7"/>
    <w:rsid w:val="00D14316"/>
    <w:rsid w:val="00D15996"/>
    <w:rsid w:val="00D20211"/>
    <w:rsid w:val="00D20CC2"/>
    <w:rsid w:val="00D235D4"/>
    <w:rsid w:val="00D25F1D"/>
    <w:rsid w:val="00D27688"/>
    <w:rsid w:val="00D30433"/>
    <w:rsid w:val="00D31E36"/>
    <w:rsid w:val="00D334D4"/>
    <w:rsid w:val="00D35B82"/>
    <w:rsid w:val="00D366E9"/>
    <w:rsid w:val="00D373C0"/>
    <w:rsid w:val="00D37402"/>
    <w:rsid w:val="00D40608"/>
    <w:rsid w:val="00D41A4C"/>
    <w:rsid w:val="00D41A6F"/>
    <w:rsid w:val="00D42B3B"/>
    <w:rsid w:val="00D43801"/>
    <w:rsid w:val="00D44F7C"/>
    <w:rsid w:val="00D45410"/>
    <w:rsid w:val="00D477B3"/>
    <w:rsid w:val="00D47B29"/>
    <w:rsid w:val="00D51531"/>
    <w:rsid w:val="00D5295F"/>
    <w:rsid w:val="00D52BD0"/>
    <w:rsid w:val="00D52FB6"/>
    <w:rsid w:val="00D53F2B"/>
    <w:rsid w:val="00D54EA3"/>
    <w:rsid w:val="00D56265"/>
    <w:rsid w:val="00D57236"/>
    <w:rsid w:val="00D60141"/>
    <w:rsid w:val="00D60B77"/>
    <w:rsid w:val="00D60F5B"/>
    <w:rsid w:val="00D62206"/>
    <w:rsid w:val="00D6288B"/>
    <w:rsid w:val="00D642B7"/>
    <w:rsid w:val="00D64822"/>
    <w:rsid w:val="00D6730D"/>
    <w:rsid w:val="00D678E2"/>
    <w:rsid w:val="00D70776"/>
    <w:rsid w:val="00D70EA1"/>
    <w:rsid w:val="00D70F7D"/>
    <w:rsid w:val="00D71721"/>
    <w:rsid w:val="00D719AA"/>
    <w:rsid w:val="00D72F7E"/>
    <w:rsid w:val="00D8059E"/>
    <w:rsid w:val="00D80DD9"/>
    <w:rsid w:val="00D81AFB"/>
    <w:rsid w:val="00D83DC2"/>
    <w:rsid w:val="00D84088"/>
    <w:rsid w:val="00D84719"/>
    <w:rsid w:val="00D906A9"/>
    <w:rsid w:val="00D91AC3"/>
    <w:rsid w:val="00D920A0"/>
    <w:rsid w:val="00D922F7"/>
    <w:rsid w:val="00D93AE2"/>
    <w:rsid w:val="00D94EB4"/>
    <w:rsid w:val="00D96997"/>
    <w:rsid w:val="00D96BB2"/>
    <w:rsid w:val="00DA1250"/>
    <w:rsid w:val="00DA3940"/>
    <w:rsid w:val="00DA4F12"/>
    <w:rsid w:val="00DA60B1"/>
    <w:rsid w:val="00DA61C4"/>
    <w:rsid w:val="00DA797F"/>
    <w:rsid w:val="00DA7C77"/>
    <w:rsid w:val="00DB15B6"/>
    <w:rsid w:val="00DB48BD"/>
    <w:rsid w:val="00DB5231"/>
    <w:rsid w:val="00DB57FD"/>
    <w:rsid w:val="00DB667E"/>
    <w:rsid w:val="00DC15CE"/>
    <w:rsid w:val="00DC34C8"/>
    <w:rsid w:val="00DC4252"/>
    <w:rsid w:val="00DC4E33"/>
    <w:rsid w:val="00DD0732"/>
    <w:rsid w:val="00DD0FE1"/>
    <w:rsid w:val="00DD1C05"/>
    <w:rsid w:val="00DD5281"/>
    <w:rsid w:val="00DD5E1D"/>
    <w:rsid w:val="00DD6295"/>
    <w:rsid w:val="00DD6E4B"/>
    <w:rsid w:val="00DD72CD"/>
    <w:rsid w:val="00DD7627"/>
    <w:rsid w:val="00DE14B6"/>
    <w:rsid w:val="00DE31C0"/>
    <w:rsid w:val="00DE5BD3"/>
    <w:rsid w:val="00DE5E61"/>
    <w:rsid w:val="00DE7AB2"/>
    <w:rsid w:val="00DF176A"/>
    <w:rsid w:val="00DF2F07"/>
    <w:rsid w:val="00DF5403"/>
    <w:rsid w:val="00DF5748"/>
    <w:rsid w:val="00DF6819"/>
    <w:rsid w:val="00DF739C"/>
    <w:rsid w:val="00DF7C7E"/>
    <w:rsid w:val="00E00244"/>
    <w:rsid w:val="00E00662"/>
    <w:rsid w:val="00E02094"/>
    <w:rsid w:val="00E02906"/>
    <w:rsid w:val="00E031E3"/>
    <w:rsid w:val="00E03581"/>
    <w:rsid w:val="00E041E7"/>
    <w:rsid w:val="00E05018"/>
    <w:rsid w:val="00E058A3"/>
    <w:rsid w:val="00E05FA4"/>
    <w:rsid w:val="00E06F95"/>
    <w:rsid w:val="00E0732D"/>
    <w:rsid w:val="00E077CD"/>
    <w:rsid w:val="00E07B1B"/>
    <w:rsid w:val="00E109CC"/>
    <w:rsid w:val="00E112BE"/>
    <w:rsid w:val="00E12132"/>
    <w:rsid w:val="00E12CAB"/>
    <w:rsid w:val="00E146E2"/>
    <w:rsid w:val="00E14929"/>
    <w:rsid w:val="00E15D4C"/>
    <w:rsid w:val="00E16330"/>
    <w:rsid w:val="00E1764B"/>
    <w:rsid w:val="00E17BEF"/>
    <w:rsid w:val="00E23D24"/>
    <w:rsid w:val="00E2419B"/>
    <w:rsid w:val="00E241FC"/>
    <w:rsid w:val="00E24AC1"/>
    <w:rsid w:val="00E27480"/>
    <w:rsid w:val="00E277A0"/>
    <w:rsid w:val="00E32CD8"/>
    <w:rsid w:val="00E34175"/>
    <w:rsid w:val="00E345C1"/>
    <w:rsid w:val="00E370A3"/>
    <w:rsid w:val="00E3738F"/>
    <w:rsid w:val="00E37718"/>
    <w:rsid w:val="00E4055B"/>
    <w:rsid w:val="00E40915"/>
    <w:rsid w:val="00E41023"/>
    <w:rsid w:val="00E41537"/>
    <w:rsid w:val="00E451F2"/>
    <w:rsid w:val="00E46949"/>
    <w:rsid w:val="00E52317"/>
    <w:rsid w:val="00E5377A"/>
    <w:rsid w:val="00E561DE"/>
    <w:rsid w:val="00E56267"/>
    <w:rsid w:val="00E56471"/>
    <w:rsid w:val="00E57D1A"/>
    <w:rsid w:val="00E60803"/>
    <w:rsid w:val="00E62300"/>
    <w:rsid w:val="00E64674"/>
    <w:rsid w:val="00E65385"/>
    <w:rsid w:val="00E66611"/>
    <w:rsid w:val="00E66E12"/>
    <w:rsid w:val="00E70B1D"/>
    <w:rsid w:val="00E70F34"/>
    <w:rsid w:val="00E71EB4"/>
    <w:rsid w:val="00E72F35"/>
    <w:rsid w:val="00E73BC7"/>
    <w:rsid w:val="00E7432B"/>
    <w:rsid w:val="00E7458C"/>
    <w:rsid w:val="00E75747"/>
    <w:rsid w:val="00E766E2"/>
    <w:rsid w:val="00E769E0"/>
    <w:rsid w:val="00E77DD3"/>
    <w:rsid w:val="00E80798"/>
    <w:rsid w:val="00E82473"/>
    <w:rsid w:val="00E82EF6"/>
    <w:rsid w:val="00E8304A"/>
    <w:rsid w:val="00E8404F"/>
    <w:rsid w:val="00E85694"/>
    <w:rsid w:val="00E85CAC"/>
    <w:rsid w:val="00E86293"/>
    <w:rsid w:val="00E875E2"/>
    <w:rsid w:val="00E90499"/>
    <w:rsid w:val="00E92A5D"/>
    <w:rsid w:val="00E93AF0"/>
    <w:rsid w:val="00E942E4"/>
    <w:rsid w:val="00E94327"/>
    <w:rsid w:val="00E95F51"/>
    <w:rsid w:val="00E96489"/>
    <w:rsid w:val="00E97577"/>
    <w:rsid w:val="00EA01A6"/>
    <w:rsid w:val="00EA01C6"/>
    <w:rsid w:val="00EA36B3"/>
    <w:rsid w:val="00EA3C15"/>
    <w:rsid w:val="00EA4285"/>
    <w:rsid w:val="00EA51D1"/>
    <w:rsid w:val="00EA58A3"/>
    <w:rsid w:val="00EA696D"/>
    <w:rsid w:val="00EA7121"/>
    <w:rsid w:val="00EA7148"/>
    <w:rsid w:val="00EA744B"/>
    <w:rsid w:val="00EA7FBB"/>
    <w:rsid w:val="00EB0CC4"/>
    <w:rsid w:val="00EB15D9"/>
    <w:rsid w:val="00EB1D93"/>
    <w:rsid w:val="00EB21C5"/>
    <w:rsid w:val="00EB27DC"/>
    <w:rsid w:val="00EB3588"/>
    <w:rsid w:val="00EB555C"/>
    <w:rsid w:val="00EB69DB"/>
    <w:rsid w:val="00EC08AB"/>
    <w:rsid w:val="00EC1269"/>
    <w:rsid w:val="00EC14D1"/>
    <w:rsid w:val="00EC26DB"/>
    <w:rsid w:val="00EC2975"/>
    <w:rsid w:val="00EC312B"/>
    <w:rsid w:val="00EC3659"/>
    <w:rsid w:val="00EC4B65"/>
    <w:rsid w:val="00EC4F31"/>
    <w:rsid w:val="00EC5AEE"/>
    <w:rsid w:val="00EC5E0C"/>
    <w:rsid w:val="00EC638F"/>
    <w:rsid w:val="00EC77EA"/>
    <w:rsid w:val="00ED0276"/>
    <w:rsid w:val="00ED042D"/>
    <w:rsid w:val="00ED06FD"/>
    <w:rsid w:val="00ED0D72"/>
    <w:rsid w:val="00ED0E29"/>
    <w:rsid w:val="00ED42F8"/>
    <w:rsid w:val="00ED452B"/>
    <w:rsid w:val="00ED5B42"/>
    <w:rsid w:val="00ED61A2"/>
    <w:rsid w:val="00ED759E"/>
    <w:rsid w:val="00ED7B76"/>
    <w:rsid w:val="00ED7FC8"/>
    <w:rsid w:val="00EE0733"/>
    <w:rsid w:val="00EE1461"/>
    <w:rsid w:val="00EE14AB"/>
    <w:rsid w:val="00EE3699"/>
    <w:rsid w:val="00EE3BFF"/>
    <w:rsid w:val="00EE51A0"/>
    <w:rsid w:val="00EF0116"/>
    <w:rsid w:val="00EF1221"/>
    <w:rsid w:val="00EF1C0F"/>
    <w:rsid w:val="00EF25AB"/>
    <w:rsid w:val="00EF407C"/>
    <w:rsid w:val="00EF5353"/>
    <w:rsid w:val="00F00428"/>
    <w:rsid w:val="00F0054D"/>
    <w:rsid w:val="00F0087F"/>
    <w:rsid w:val="00F00981"/>
    <w:rsid w:val="00F0265D"/>
    <w:rsid w:val="00F0327B"/>
    <w:rsid w:val="00F04BE5"/>
    <w:rsid w:val="00F074FB"/>
    <w:rsid w:val="00F07E96"/>
    <w:rsid w:val="00F11387"/>
    <w:rsid w:val="00F120BB"/>
    <w:rsid w:val="00F1318B"/>
    <w:rsid w:val="00F171F1"/>
    <w:rsid w:val="00F20FFC"/>
    <w:rsid w:val="00F22BDC"/>
    <w:rsid w:val="00F230AA"/>
    <w:rsid w:val="00F27B89"/>
    <w:rsid w:val="00F3016D"/>
    <w:rsid w:val="00F30F88"/>
    <w:rsid w:val="00F31736"/>
    <w:rsid w:val="00F40263"/>
    <w:rsid w:val="00F4111B"/>
    <w:rsid w:val="00F423DA"/>
    <w:rsid w:val="00F42910"/>
    <w:rsid w:val="00F42CF0"/>
    <w:rsid w:val="00F430C9"/>
    <w:rsid w:val="00F45CAA"/>
    <w:rsid w:val="00F4776D"/>
    <w:rsid w:val="00F47CC4"/>
    <w:rsid w:val="00F47F14"/>
    <w:rsid w:val="00F47F4F"/>
    <w:rsid w:val="00F50E4F"/>
    <w:rsid w:val="00F5382E"/>
    <w:rsid w:val="00F53A87"/>
    <w:rsid w:val="00F53F91"/>
    <w:rsid w:val="00F55E5D"/>
    <w:rsid w:val="00F562E1"/>
    <w:rsid w:val="00F56B76"/>
    <w:rsid w:val="00F61C3C"/>
    <w:rsid w:val="00F62E81"/>
    <w:rsid w:val="00F65DC4"/>
    <w:rsid w:val="00F66588"/>
    <w:rsid w:val="00F67AD6"/>
    <w:rsid w:val="00F70477"/>
    <w:rsid w:val="00F710E6"/>
    <w:rsid w:val="00F71438"/>
    <w:rsid w:val="00F71AB9"/>
    <w:rsid w:val="00F725DA"/>
    <w:rsid w:val="00F73D2E"/>
    <w:rsid w:val="00F76990"/>
    <w:rsid w:val="00F77E97"/>
    <w:rsid w:val="00F81084"/>
    <w:rsid w:val="00F81104"/>
    <w:rsid w:val="00F81A8E"/>
    <w:rsid w:val="00F81F8C"/>
    <w:rsid w:val="00F827C4"/>
    <w:rsid w:val="00F83806"/>
    <w:rsid w:val="00F8602F"/>
    <w:rsid w:val="00F86BA6"/>
    <w:rsid w:val="00F903D8"/>
    <w:rsid w:val="00F91E86"/>
    <w:rsid w:val="00F922C6"/>
    <w:rsid w:val="00F924C4"/>
    <w:rsid w:val="00F9334F"/>
    <w:rsid w:val="00F9396F"/>
    <w:rsid w:val="00F94115"/>
    <w:rsid w:val="00F943D2"/>
    <w:rsid w:val="00F94C85"/>
    <w:rsid w:val="00F95280"/>
    <w:rsid w:val="00F96642"/>
    <w:rsid w:val="00FA0284"/>
    <w:rsid w:val="00FA0CBF"/>
    <w:rsid w:val="00FA0D04"/>
    <w:rsid w:val="00FA1A15"/>
    <w:rsid w:val="00FA2C6B"/>
    <w:rsid w:val="00FA39BE"/>
    <w:rsid w:val="00FA4A0B"/>
    <w:rsid w:val="00FB1FA7"/>
    <w:rsid w:val="00FB2646"/>
    <w:rsid w:val="00FB320F"/>
    <w:rsid w:val="00FB4784"/>
    <w:rsid w:val="00FB4930"/>
    <w:rsid w:val="00FB5A20"/>
    <w:rsid w:val="00FB6D35"/>
    <w:rsid w:val="00FB7C78"/>
    <w:rsid w:val="00FC0552"/>
    <w:rsid w:val="00FC07B8"/>
    <w:rsid w:val="00FC084B"/>
    <w:rsid w:val="00FC0D5E"/>
    <w:rsid w:val="00FC354E"/>
    <w:rsid w:val="00FC5508"/>
    <w:rsid w:val="00FC5520"/>
    <w:rsid w:val="00FC5771"/>
    <w:rsid w:val="00FC5E52"/>
    <w:rsid w:val="00FC62E2"/>
    <w:rsid w:val="00FD391F"/>
    <w:rsid w:val="00FD6D61"/>
    <w:rsid w:val="00FD708B"/>
    <w:rsid w:val="00FD7C5E"/>
    <w:rsid w:val="00FE3276"/>
    <w:rsid w:val="00FE383E"/>
    <w:rsid w:val="00FF0782"/>
    <w:rsid w:val="00FF15E8"/>
    <w:rsid w:val="00FF1CAF"/>
    <w:rsid w:val="00FF30F7"/>
    <w:rsid w:val="00FF3128"/>
    <w:rsid w:val="00FF4C58"/>
    <w:rsid w:val="00FF7030"/>
    <w:rsid w:val="0102022B"/>
    <w:rsid w:val="01064C9A"/>
    <w:rsid w:val="02071A61"/>
    <w:rsid w:val="02072932"/>
    <w:rsid w:val="02164393"/>
    <w:rsid w:val="02333780"/>
    <w:rsid w:val="02420CA3"/>
    <w:rsid w:val="025951B8"/>
    <w:rsid w:val="025C5320"/>
    <w:rsid w:val="02872A7B"/>
    <w:rsid w:val="03335A27"/>
    <w:rsid w:val="03776642"/>
    <w:rsid w:val="03CA3782"/>
    <w:rsid w:val="043419D8"/>
    <w:rsid w:val="04426558"/>
    <w:rsid w:val="048B1624"/>
    <w:rsid w:val="049F18CA"/>
    <w:rsid w:val="04A86087"/>
    <w:rsid w:val="04CF74FA"/>
    <w:rsid w:val="050C0A00"/>
    <w:rsid w:val="05445D91"/>
    <w:rsid w:val="058C2BDC"/>
    <w:rsid w:val="05AD1B88"/>
    <w:rsid w:val="05C55124"/>
    <w:rsid w:val="05D879DA"/>
    <w:rsid w:val="05FE0C85"/>
    <w:rsid w:val="062F07EF"/>
    <w:rsid w:val="06682F17"/>
    <w:rsid w:val="067163BB"/>
    <w:rsid w:val="06730EF1"/>
    <w:rsid w:val="068A6917"/>
    <w:rsid w:val="069845E6"/>
    <w:rsid w:val="069D1BFD"/>
    <w:rsid w:val="06B62FE7"/>
    <w:rsid w:val="06B9231B"/>
    <w:rsid w:val="06B96CE6"/>
    <w:rsid w:val="06C21663"/>
    <w:rsid w:val="06C96F42"/>
    <w:rsid w:val="06E45E26"/>
    <w:rsid w:val="07773F7A"/>
    <w:rsid w:val="07EC09AB"/>
    <w:rsid w:val="07F04A55"/>
    <w:rsid w:val="08416AF0"/>
    <w:rsid w:val="08720B99"/>
    <w:rsid w:val="088C1F29"/>
    <w:rsid w:val="08BB1E7B"/>
    <w:rsid w:val="09306FA2"/>
    <w:rsid w:val="09333979"/>
    <w:rsid w:val="09383E5F"/>
    <w:rsid w:val="09A4268F"/>
    <w:rsid w:val="09AA7ADC"/>
    <w:rsid w:val="0AA277E2"/>
    <w:rsid w:val="0AB319EF"/>
    <w:rsid w:val="0ABE665F"/>
    <w:rsid w:val="0ACC0D02"/>
    <w:rsid w:val="0AE07F21"/>
    <w:rsid w:val="0B024724"/>
    <w:rsid w:val="0B196371"/>
    <w:rsid w:val="0B32010F"/>
    <w:rsid w:val="0B38079D"/>
    <w:rsid w:val="0B444D3D"/>
    <w:rsid w:val="0B446864"/>
    <w:rsid w:val="0B9C6927"/>
    <w:rsid w:val="0BFD70DF"/>
    <w:rsid w:val="0C264442"/>
    <w:rsid w:val="0C817812"/>
    <w:rsid w:val="0CBE44A8"/>
    <w:rsid w:val="0CC864FD"/>
    <w:rsid w:val="0CD2016A"/>
    <w:rsid w:val="0CEE60EF"/>
    <w:rsid w:val="0D054058"/>
    <w:rsid w:val="0D766D04"/>
    <w:rsid w:val="0DC32494"/>
    <w:rsid w:val="0DE14AC5"/>
    <w:rsid w:val="0E2F6AD4"/>
    <w:rsid w:val="0E3621B7"/>
    <w:rsid w:val="0E39045D"/>
    <w:rsid w:val="0E4954BA"/>
    <w:rsid w:val="0E4A146B"/>
    <w:rsid w:val="0E5A0F8B"/>
    <w:rsid w:val="0E735142"/>
    <w:rsid w:val="0EBC59A1"/>
    <w:rsid w:val="0F2B2F09"/>
    <w:rsid w:val="0F692F34"/>
    <w:rsid w:val="0F77002E"/>
    <w:rsid w:val="0F900551"/>
    <w:rsid w:val="0FD523A5"/>
    <w:rsid w:val="0FEB1C2B"/>
    <w:rsid w:val="10275BD8"/>
    <w:rsid w:val="10782B35"/>
    <w:rsid w:val="10C743D2"/>
    <w:rsid w:val="10CB7A1C"/>
    <w:rsid w:val="110C00AB"/>
    <w:rsid w:val="11123CAE"/>
    <w:rsid w:val="11425155"/>
    <w:rsid w:val="119A064D"/>
    <w:rsid w:val="11B07896"/>
    <w:rsid w:val="11F102D9"/>
    <w:rsid w:val="12090FBA"/>
    <w:rsid w:val="120F7E95"/>
    <w:rsid w:val="12154D3D"/>
    <w:rsid w:val="12366BD3"/>
    <w:rsid w:val="12AB744F"/>
    <w:rsid w:val="12D56705"/>
    <w:rsid w:val="130628D8"/>
    <w:rsid w:val="130F253F"/>
    <w:rsid w:val="13375337"/>
    <w:rsid w:val="139A3C3D"/>
    <w:rsid w:val="13D8673A"/>
    <w:rsid w:val="146176E0"/>
    <w:rsid w:val="14902DA1"/>
    <w:rsid w:val="14EA34B2"/>
    <w:rsid w:val="14F52C04"/>
    <w:rsid w:val="153C0833"/>
    <w:rsid w:val="155527AF"/>
    <w:rsid w:val="156E52E3"/>
    <w:rsid w:val="15836462"/>
    <w:rsid w:val="158C3FC8"/>
    <w:rsid w:val="159C79DC"/>
    <w:rsid w:val="15F1425A"/>
    <w:rsid w:val="167F3B6D"/>
    <w:rsid w:val="168B3820"/>
    <w:rsid w:val="169A7F07"/>
    <w:rsid w:val="17C35ACE"/>
    <w:rsid w:val="17D97528"/>
    <w:rsid w:val="181525FA"/>
    <w:rsid w:val="1817146C"/>
    <w:rsid w:val="18296DD8"/>
    <w:rsid w:val="18D370E2"/>
    <w:rsid w:val="19476164"/>
    <w:rsid w:val="19804109"/>
    <w:rsid w:val="1984308C"/>
    <w:rsid w:val="19957F7A"/>
    <w:rsid w:val="19C06A8A"/>
    <w:rsid w:val="19F64CC5"/>
    <w:rsid w:val="1A044015"/>
    <w:rsid w:val="1A323A45"/>
    <w:rsid w:val="1A5F730D"/>
    <w:rsid w:val="1A64170E"/>
    <w:rsid w:val="1A990CC9"/>
    <w:rsid w:val="1AF51BB0"/>
    <w:rsid w:val="1B4A7401"/>
    <w:rsid w:val="1B515F95"/>
    <w:rsid w:val="1BD04EB4"/>
    <w:rsid w:val="1C09588C"/>
    <w:rsid w:val="1C161DDD"/>
    <w:rsid w:val="1C1B6365"/>
    <w:rsid w:val="1C200EAE"/>
    <w:rsid w:val="1C320A9C"/>
    <w:rsid w:val="1C356C65"/>
    <w:rsid w:val="1C550B58"/>
    <w:rsid w:val="1C5A43C0"/>
    <w:rsid w:val="1C616B23"/>
    <w:rsid w:val="1C7053C6"/>
    <w:rsid w:val="1C827F34"/>
    <w:rsid w:val="1D3864FB"/>
    <w:rsid w:val="1D66533D"/>
    <w:rsid w:val="1D6F314E"/>
    <w:rsid w:val="1D7D3EB9"/>
    <w:rsid w:val="1D7E40DE"/>
    <w:rsid w:val="1D95430B"/>
    <w:rsid w:val="1DAA4ED3"/>
    <w:rsid w:val="1DAD0520"/>
    <w:rsid w:val="1DC046F7"/>
    <w:rsid w:val="1DCD74BF"/>
    <w:rsid w:val="1DE026A3"/>
    <w:rsid w:val="1E5077D8"/>
    <w:rsid w:val="1EB1403F"/>
    <w:rsid w:val="1F8D23B7"/>
    <w:rsid w:val="1FBE4C66"/>
    <w:rsid w:val="1FDC50EC"/>
    <w:rsid w:val="1FF8225A"/>
    <w:rsid w:val="20410CE9"/>
    <w:rsid w:val="207E2C8E"/>
    <w:rsid w:val="20BD6197"/>
    <w:rsid w:val="20FD0F43"/>
    <w:rsid w:val="21585F1B"/>
    <w:rsid w:val="217A7082"/>
    <w:rsid w:val="21BC7122"/>
    <w:rsid w:val="21C75A6D"/>
    <w:rsid w:val="220605FD"/>
    <w:rsid w:val="22A12348"/>
    <w:rsid w:val="22AD34AF"/>
    <w:rsid w:val="22CD1505"/>
    <w:rsid w:val="23C9795A"/>
    <w:rsid w:val="23CD2C5E"/>
    <w:rsid w:val="23D72242"/>
    <w:rsid w:val="23D91F5E"/>
    <w:rsid w:val="2406098A"/>
    <w:rsid w:val="240C5E63"/>
    <w:rsid w:val="241F1E28"/>
    <w:rsid w:val="242860CF"/>
    <w:rsid w:val="246B10FD"/>
    <w:rsid w:val="24811B48"/>
    <w:rsid w:val="24AF49DE"/>
    <w:rsid w:val="25211AA8"/>
    <w:rsid w:val="253D71E7"/>
    <w:rsid w:val="25657932"/>
    <w:rsid w:val="25B2387B"/>
    <w:rsid w:val="25C97A5B"/>
    <w:rsid w:val="26217FAF"/>
    <w:rsid w:val="266D4CF0"/>
    <w:rsid w:val="268C788E"/>
    <w:rsid w:val="26C86B64"/>
    <w:rsid w:val="26EC20B9"/>
    <w:rsid w:val="274C4F7C"/>
    <w:rsid w:val="27CD61E7"/>
    <w:rsid w:val="28101DD7"/>
    <w:rsid w:val="28467729"/>
    <w:rsid w:val="28AD5878"/>
    <w:rsid w:val="28CB21A2"/>
    <w:rsid w:val="29A8257B"/>
    <w:rsid w:val="29D86924"/>
    <w:rsid w:val="29DE2EB4"/>
    <w:rsid w:val="2A3C68B2"/>
    <w:rsid w:val="2A7C3754"/>
    <w:rsid w:val="2A801553"/>
    <w:rsid w:val="2ACF41CB"/>
    <w:rsid w:val="2AE17A5A"/>
    <w:rsid w:val="2B850141"/>
    <w:rsid w:val="2C0A31BE"/>
    <w:rsid w:val="2C354DC9"/>
    <w:rsid w:val="2C6941FF"/>
    <w:rsid w:val="2CF3734B"/>
    <w:rsid w:val="2CFE1498"/>
    <w:rsid w:val="2D0F4C2F"/>
    <w:rsid w:val="2D923467"/>
    <w:rsid w:val="2DE15836"/>
    <w:rsid w:val="2E053E8C"/>
    <w:rsid w:val="2E0A0A82"/>
    <w:rsid w:val="2E0F44D8"/>
    <w:rsid w:val="2E435663"/>
    <w:rsid w:val="2ED14F66"/>
    <w:rsid w:val="2EE31F3A"/>
    <w:rsid w:val="2F417188"/>
    <w:rsid w:val="2F4B1946"/>
    <w:rsid w:val="2F5C1222"/>
    <w:rsid w:val="30C5690A"/>
    <w:rsid w:val="30D83F2F"/>
    <w:rsid w:val="30F07D67"/>
    <w:rsid w:val="30F96727"/>
    <w:rsid w:val="31664912"/>
    <w:rsid w:val="31877EA4"/>
    <w:rsid w:val="31AC0DC2"/>
    <w:rsid w:val="31FF0E6C"/>
    <w:rsid w:val="32C406E0"/>
    <w:rsid w:val="32F96AA8"/>
    <w:rsid w:val="32FD27B6"/>
    <w:rsid w:val="334138A4"/>
    <w:rsid w:val="33433781"/>
    <w:rsid w:val="33537D14"/>
    <w:rsid w:val="336F7EE1"/>
    <w:rsid w:val="33763C41"/>
    <w:rsid w:val="33D60378"/>
    <w:rsid w:val="34B25DEE"/>
    <w:rsid w:val="35272C7B"/>
    <w:rsid w:val="353F02C1"/>
    <w:rsid w:val="356C127C"/>
    <w:rsid w:val="35BF6BEA"/>
    <w:rsid w:val="35C461A1"/>
    <w:rsid w:val="35C6578F"/>
    <w:rsid w:val="35DB6274"/>
    <w:rsid w:val="35EA010B"/>
    <w:rsid w:val="360B1AD4"/>
    <w:rsid w:val="36346C88"/>
    <w:rsid w:val="363F1332"/>
    <w:rsid w:val="366F017D"/>
    <w:rsid w:val="368A71F8"/>
    <w:rsid w:val="36A92329"/>
    <w:rsid w:val="36D050A3"/>
    <w:rsid w:val="37353608"/>
    <w:rsid w:val="37D61B98"/>
    <w:rsid w:val="38635F53"/>
    <w:rsid w:val="388D1669"/>
    <w:rsid w:val="38A24CCD"/>
    <w:rsid w:val="38CC171C"/>
    <w:rsid w:val="3905700A"/>
    <w:rsid w:val="39477394"/>
    <w:rsid w:val="394A182B"/>
    <w:rsid w:val="394D0F3D"/>
    <w:rsid w:val="395858B4"/>
    <w:rsid w:val="3970251A"/>
    <w:rsid w:val="398268AC"/>
    <w:rsid w:val="39CE1AF2"/>
    <w:rsid w:val="39DB24D8"/>
    <w:rsid w:val="3A380A7B"/>
    <w:rsid w:val="3A4D0C68"/>
    <w:rsid w:val="3B1C1EFC"/>
    <w:rsid w:val="3B304812"/>
    <w:rsid w:val="3B735C80"/>
    <w:rsid w:val="3BC71ADD"/>
    <w:rsid w:val="3BE82A8F"/>
    <w:rsid w:val="3BEA3346"/>
    <w:rsid w:val="3BF35840"/>
    <w:rsid w:val="3C245997"/>
    <w:rsid w:val="3C926F85"/>
    <w:rsid w:val="3CA32DC2"/>
    <w:rsid w:val="3CBA015F"/>
    <w:rsid w:val="3D2739F3"/>
    <w:rsid w:val="3D68711F"/>
    <w:rsid w:val="3D7618E1"/>
    <w:rsid w:val="3DAE7C70"/>
    <w:rsid w:val="3E15176F"/>
    <w:rsid w:val="3E151A9D"/>
    <w:rsid w:val="3E3C527C"/>
    <w:rsid w:val="3E9C21BE"/>
    <w:rsid w:val="3EFE2C72"/>
    <w:rsid w:val="3F4F5483"/>
    <w:rsid w:val="3F5860E5"/>
    <w:rsid w:val="3F591E5E"/>
    <w:rsid w:val="3F724832"/>
    <w:rsid w:val="3F9E6B2B"/>
    <w:rsid w:val="3FD366FD"/>
    <w:rsid w:val="3FF75596"/>
    <w:rsid w:val="40027393"/>
    <w:rsid w:val="402F01D3"/>
    <w:rsid w:val="402F44B0"/>
    <w:rsid w:val="408B69E7"/>
    <w:rsid w:val="40912071"/>
    <w:rsid w:val="40C84983"/>
    <w:rsid w:val="41670862"/>
    <w:rsid w:val="41CA6005"/>
    <w:rsid w:val="42045EFC"/>
    <w:rsid w:val="4209430B"/>
    <w:rsid w:val="4210719D"/>
    <w:rsid w:val="42445AD3"/>
    <w:rsid w:val="426B4382"/>
    <w:rsid w:val="42D848D1"/>
    <w:rsid w:val="43284021"/>
    <w:rsid w:val="433824BB"/>
    <w:rsid w:val="434907ED"/>
    <w:rsid w:val="43635749"/>
    <w:rsid w:val="436567F7"/>
    <w:rsid w:val="4365723A"/>
    <w:rsid w:val="439416B6"/>
    <w:rsid w:val="43A7763B"/>
    <w:rsid w:val="43E8738E"/>
    <w:rsid w:val="44610C31"/>
    <w:rsid w:val="44870A9D"/>
    <w:rsid w:val="44916530"/>
    <w:rsid w:val="44BB4C9D"/>
    <w:rsid w:val="44CD30D2"/>
    <w:rsid w:val="44DB3132"/>
    <w:rsid w:val="44E81CBA"/>
    <w:rsid w:val="44E93ED3"/>
    <w:rsid w:val="456733BF"/>
    <w:rsid w:val="456B28EB"/>
    <w:rsid w:val="456B4699"/>
    <w:rsid w:val="459260C9"/>
    <w:rsid w:val="46053912"/>
    <w:rsid w:val="46696E2A"/>
    <w:rsid w:val="468227FC"/>
    <w:rsid w:val="472D37D8"/>
    <w:rsid w:val="47873C17"/>
    <w:rsid w:val="47B916EB"/>
    <w:rsid w:val="47FB7F56"/>
    <w:rsid w:val="48322590"/>
    <w:rsid w:val="485954E8"/>
    <w:rsid w:val="487675DC"/>
    <w:rsid w:val="48971351"/>
    <w:rsid w:val="48FF6F9B"/>
    <w:rsid w:val="492131CC"/>
    <w:rsid w:val="492E03C3"/>
    <w:rsid w:val="4957480F"/>
    <w:rsid w:val="496322F6"/>
    <w:rsid w:val="49CE4C49"/>
    <w:rsid w:val="49E113CD"/>
    <w:rsid w:val="49FD1D99"/>
    <w:rsid w:val="4A036364"/>
    <w:rsid w:val="4A4620E5"/>
    <w:rsid w:val="4ABC22B9"/>
    <w:rsid w:val="4B136CD7"/>
    <w:rsid w:val="4B3649C1"/>
    <w:rsid w:val="4B6E3422"/>
    <w:rsid w:val="4C082C80"/>
    <w:rsid w:val="4C1C27E2"/>
    <w:rsid w:val="4C33798C"/>
    <w:rsid w:val="4C416153"/>
    <w:rsid w:val="4C6D6F48"/>
    <w:rsid w:val="4CC51F44"/>
    <w:rsid w:val="4CE05AD8"/>
    <w:rsid w:val="4D505B6D"/>
    <w:rsid w:val="4D693BB4"/>
    <w:rsid w:val="4DE529F9"/>
    <w:rsid w:val="4E487C6D"/>
    <w:rsid w:val="4E6016A8"/>
    <w:rsid w:val="4E7814F5"/>
    <w:rsid w:val="4E9510FC"/>
    <w:rsid w:val="4EB15781"/>
    <w:rsid w:val="4F160C8C"/>
    <w:rsid w:val="4F450AF0"/>
    <w:rsid w:val="4F5B752C"/>
    <w:rsid w:val="4F701229"/>
    <w:rsid w:val="4FBC5BC5"/>
    <w:rsid w:val="502B02F9"/>
    <w:rsid w:val="50766856"/>
    <w:rsid w:val="50923850"/>
    <w:rsid w:val="50B843AC"/>
    <w:rsid w:val="50F86BE8"/>
    <w:rsid w:val="51971121"/>
    <w:rsid w:val="51BC3A80"/>
    <w:rsid w:val="51C54B1A"/>
    <w:rsid w:val="526130AB"/>
    <w:rsid w:val="52DC0984"/>
    <w:rsid w:val="52EF3147"/>
    <w:rsid w:val="52FA6C83"/>
    <w:rsid w:val="53227B62"/>
    <w:rsid w:val="537F5EDF"/>
    <w:rsid w:val="53D42FD3"/>
    <w:rsid w:val="53ED6A20"/>
    <w:rsid w:val="540E65F8"/>
    <w:rsid w:val="54240DF8"/>
    <w:rsid w:val="54617393"/>
    <w:rsid w:val="54637754"/>
    <w:rsid w:val="55006D18"/>
    <w:rsid w:val="55067F3A"/>
    <w:rsid w:val="556371AC"/>
    <w:rsid w:val="559C7DD5"/>
    <w:rsid w:val="55D575B1"/>
    <w:rsid w:val="55E069DD"/>
    <w:rsid w:val="55EF6976"/>
    <w:rsid w:val="561777FB"/>
    <w:rsid w:val="56423FD8"/>
    <w:rsid w:val="56464A92"/>
    <w:rsid w:val="566E5D97"/>
    <w:rsid w:val="56AA776B"/>
    <w:rsid w:val="56B709D4"/>
    <w:rsid w:val="572731A4"/>
    <w:rsid w:val="575339D6"/>
    <w:rsid w:val="57882E88"/>
    <w:rsid w:val="57AC0A95"/>
    <w:rsid w:val="57CE1642"/>
    <w:rsid w:val="57F73045"/>
    <w:rsid w:val="58076C38"/>
    <w:rsid w:val="581623FB"/>
    <w:rsid w:val="581F0BE8"/>
    <w:rsid w:val="583B61E8"/>
    <w:rsid w:val="58472D43"/>
    <w:rsid w:val="58ED04B5"/>
    <w:rsid w:val="599803B7"/>
    <w:rsid w:val="5A182B77"/>
    <w:rsid w:val="5A50460E"/>
    <w:rsid w:val="5A557999"/>
    <w:rsid w:val="5AB76903"/>
    <w:rsid w:val="5B4B3112"/>
    <w:rsid w:val="5B5A3700"/>
    <w:rsid w:val="5B745BFD"/>
    <w:rsid w:val="5BB50D49"/>
    <w:rsid w:val="5C025093"/>
    <w:rsid w:val="5C5C72F7"/>
    <w:rsid w:val="5C7846DE"/>
    <w:rsid w:val="5C863052"/>
    <w:rsid w:val="5C9F1E6F"/>
    <w:rsid w:val="5CBF3A09"/>
    <w:rsid w:val="5CE648D9"/>
    <w:rsid w:val="5CF5392A"/>
    <w:rsid w:val="5D0B3234"/>
    <w:rsid w:val="5D0D4D06"/>
    <w:rsid w:val="5D105DFA"/>
    <w:rsid w:val="5D2C0933"/>
    <w:rsid w:val="5D435240"/>
    <w:rsid w:val="5D4F6922"/>
    <w:rsid w:val="5D7B1D7D"/>
    <w:rsid w:val="5DD47FC7"/>
    <w:rsid w:val="5DF179D9"/>
    <w:rsid w:val="5E406E22"/>
    <w:rsid w:val="5E662666"/>
    <w:rsid w:val="5E79407E"/>
    <w:rsid w:val="5ED561D5"/>
    <w:rsid w:val="5F1850A3"/>
    <w:rsid w:val="5F263154"/>
    <w:rsid w:val="5F4C731B"/>
    <w:rsid w:val="5F5E1C7A"/>
    <w:rsid w:val="5F676F6D"/>
    <w:rsid w:val="5F920D48"/>
    <w:rsid w:val="5FB54A36"/>
    <w:rsid w:val="5FC13BB9"/>
    <w:rsid w:val="60C505C6"/>
    <w:rsid w:val="60D27CB7"/>
    <w:rsid w:val="60DD4245"/>
    <w:rsid w:val="619A63CB"/>
    <w:rsid w:val="61D30C35"/>
    <w:rsid w:val="61F5736C"/>
    <w:rsid w:val="620771B2"/>
    <w:rsid w:val="62A25EEF"/>
    <w:rsid w:val="633D0FCB"/>
    <w:rsid w:val="635611A9"/>
    <w:rsid w:val="63D22876"/>
    <w:rsid w:val="63E1229E"/>
    <w:rsid w:val="63ED6F9C"/>
    <w:rsid w:val="643644C6"/>
    <w:rsid w:val="646802C9"/>
    <w:rsid w:val="648E6937"/>
    <w:rsid w:val="64A21A2D"/>
    <w:rsid w:val="65053D6A"/>
    <w:rsid w:val="651D5558"/>
    <w:rsid w:val="653F0282"/>
    <w:rsid w:val="659770B8"/>
    <w:rsid w:val="65C47BCE"/>
    <w:rsid w:val="669143E6"/>
    <w:rsid w:val="66E0683D"/>
    <w:rsid w:val="66FA4C56"/>
    <w:rsid w:val="678F3D65"/>
    <w:rsid w:val="67C458B8"/>
    <w:rsid w:val="67F41C3C"/>
    <w:rsid w:val="68555008"/>
    <w:rsid w:val="687063BF"/>
    <w:rsid w:val="68770E48"/>
    <w:rsid w:val="689A7263"/>
    <w:rsid w:val="68C36A8E"/>
    <w:rsid w:val="699A7D5E"/>
    <w:rsid w:val="69DC1964"/>
    <w:rsid w:val="6A152A41"/>
    <w:rsid w:val="6A5C442C"/>
    <w:rsid w:val="6A933BC6"/>
    <w:rsid w:val="6A974ECC"/>
    <w:rsid w:val="6AA302AD"/>
    <w:rsid w:val="6AF93E55"/>
    <w:rsid w:val="6B713F07"/>
    <w:rsid w:val="6B7F174F"/>
    <w:rsid w:val="6BAE515B"/>
    <w:rsid w:val="6BC06659"/>
    <w:rsid w:val="6BCC7390"/>
    <w:rsid w:val="6BDF66CB"/>
    <w:rsid w:val="6C5C0714"/>
    <w:rsid w:val="6CD31811"/>
    <w:rsid w:val="6CE37341"/>
    <w:rsid w:val="6D436A9D"/>
    <w:rsid w:val="6D437793"/>
    <w:rsid w:val="6DA37063"/>
    <w:rsid w:val="6E5C0E9F"/>
    <w:rsid w:val="6E972F22"/>
    <w:rsid w:val="6EA37793"/>
    <w:rsid w:val="6EAC4343"/>
    <w:rsid w:val="6ED25659"/>
    <w:rsid w:val="6EE36ECA"/>
    <w:rsid w:val="6F2412B9"/>
    <w:rsid w:val="6F2D3B7A"/>
    <w:rsid w:val="6FCC3E02"/>
    <w:rsid w:val="6FD20A80"/>
    <w:rsid w:val="70470FF4"/>
    <w:rsid w:val="706762C0"/>
    <w:rsid w:val="708E730A"/>
    <w:rsid w:val="70A94143"/>
    <w:rsid w:val="70AD4DDF"/>
    <w:rsid w:val="70D016D0"/>
    <w:rsid w:val="70F55ACC"/>
    <w:rsid w:val="711E068D"/>
    <w:rsid w:val="71417A4F"/>
    <w:rsid w:val="714C3CB9"/>
    <w:rsid w:val="715C1022"/>
    <w:rsid w:val="71905D9E"/>
    <w:rsid w:val="71C1726B"/>
    <w:rsid w:val="71D92970"/>
    <w:rsid w:val="71F17B50"/>
    <w:rsid w:val="720407C0"/>
    <w:rsid w:val="721821D2"/>
    <w:rsid w:val="7242215A"/>
    <w:rsid w:val="72486173"/>
    <w:rsid w:val="73645213"/>
    <w:rsid w:val="737A4A4C"/>
    <w:rsid w:val="73922442"/>
    <w:rsid w:val="739C30E9"/>
    <w:rsid w:val="73BB041E"/>
    <w:rsid w:val="73C535EE"/>
    <w:rsid w:val="7422308A"/>
    <w:rsid w:val="742B5867"/>
    <w:rsid w:val="74492CD9"/>
    <w:rsid w:val="74AD0323"/>
    <w:rsid w:val="75054E30"/>
    <w:rsid w:val="752D3272"/>
    <w:rsid w:val="75385A96"/>
    <w:rsid w:val="75566E81"/>
    <w:rsid w:val="755E1F6B"/>
    <w:rsid w:val="756E7621"/>
    <w:rsid w:val="759673D8"/>
    <w:rsid w:val="759C7DD3"/>
    <w:rsid w:val="75B30306"/>
    <w:rsid w:val="75DF65F3"/>
    <w:rsid w:val="75E93115"/>
    <w:rsid w:val="75FC2F67"/>
    <w:rsid w:val="77083846"/>
    <w:rsid w:val="77335721"/>
    <w:rsid w:val="77751E82"/>
    <w:rsid w:val="77CA78B6"/>
    <w:rsid w:val="77D640B1"/>
    <w:rsid w:val="78067795"/>
    <w:rsid w:val="78225E0E"/>
    <w:rsid w:val="78294CAF"/>
    <w:rsid w:val="78394BDF"/>
    <w:rsid w:val="78570929"/>
    <w:rsid w:val="786C6182"/>
    <w:rsid w:val="78CF04BF"/>
    <w:rsid w:val="791D5A99"/>
    <w:rsid w:val="796007C1"/>
    <w:rsid w:val="79617BF3"/>
    <w:rsid w:val="799221DE"/>
    <w:rsid w:val="79AA1C4E"/>
    <w:rsid w:val="7A286951"/>
    <w:rsid w:val="7A435DFC"/>
    <w:rsid w:val="7A6E6B09"/>
    <w:rsid w:val="7A910DBC"/>
    <w:rsid w:val="7A950DC5"/>
    <w:rsid w:val="7AC72534"/>
    <w:rsid w:val="7B0A6545"/>
    <w:rsid w:val="7B0B76CA"/>
    <w:rsid w:val="7B1E74DC"/>
    <w:rsid w:val="7BB73374"/>
    <w:rsid w:val="7BF92C51"/>
    <w:rsid w:val="7C09112C"/>
    <w:rsid w:val="7C0E0C62"/>
    <w:rsid w:val="7C444D20"/>
    <w:rsid w:val="7CA511C1"/>
    <w:rsid w:val="7CAE39D4"/>
    <w:rsid w:val="7CB92636"/>
    <w:rsid w:val="7CC90BBB"/>
    <w:rsid w:val="7CCC3693"/>
    <w:rsid w:val="7CCF0A8E"/>
    <w:rsid w:val="7DDD0479"/>
    <w:rsid w:val="7DE042BE"/>
    <w:rsid w:val="7E3A7D5C"/>
    <w:rsid w:val="7E404F8C"/>
    <w:rsid w:val="7E9E4FFB"/>
    <w:rsid w:val="7EA30D77"/>
    <w:rsid w:val="7EC1418E"/>
    <w:rsid w:val="7FCF3022"/>
    <w:rsid w:val="7FF01447"/>
    <w:rsid w:val="7FFE4F43"/>
    <w:rsid w:val="DB6C9BE9"/>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34"/>
    <w:autoRedefine/>
    <w:qFormat/>
    <w:uiPriority w:val="0"/>
    <w:pPr>
      <w:keepNext/>
      <w:keepLines/>
      <w:adjustRightInd w:val="0"/>
      <w:spacing w:before="120" w:line="360" w:lineRule="auto"/>
      <w:textAlignment w:val="baseline"/>
      <w:outlineLvl w:val="0"/>
    </w:pPr>
    <w:rPr>
      <w:rFonts w:eastAsia="黑体"/>
      <w:b/>
      <w:kern w:val="44"/>
      <w:sz w:val="28"/>
      <w:szCs w:val="20"/>
    </w:rPr>
  </w:style>
  <w:style w:type="paragraph" w:styleId="4">
    <w:name w:val="heading 2"/>
    <w:basedOn w:val="1"/>
    <w:next w:val="1"/>
    <w:link w:val="135"/>
    <w:autoRedefine/>
    <w:qFormat/>
    <w:uiPriority w:val="0"/>
    <w:pPr>
      <w:keepNext/>
      <w:spacing w:before="120" w:line="360" w:lineRule="auto"/>
      <w:textAlignment w:val="baseline"/>
      <w:outlineLvl w:val="1"/>
    </w:pPr>
    <w:rPr>
      <w:rFonts w:eastAsia="黑体"/>
      <w:b/>
      <w:kern w:val="0"/>
      <w:sz w:val="28"/>
      <w:szCs w:val="20"/>
    </w:rPr>
  </w:style>
  <w:style w:type="paragraph" w:styleId="5">
    <w:name w:val="heading 3"/>
    <w:basedOn w:val="1"/>
    <w:next w:val="1"/>
    <w:link w:val="80"/>
    <w:autoRedefine/>
    <w:qFormat/>
    <w:uiPriority w:val="0"/>
    <w:pPr>
      <w:tabs>
        <w:tab w:val="left" w:pos="900"/>
      </w:tabs>
      <w:adjustRightInd w:val="0"/>
      <w:spacing w:before="120" w:line="360" w:lineRule="auto"/>
      <w:textAlignment w:val="baseline"/>
      <w:outlineLvl w:val="2"/>
    </w:pPr>
    <w:rPr>
      <w:rFonts w:eastAsia="黑体"/>
      <w:b/>
      <w:kern w:val="0"/>
      <w:sz w:val="28"/>
      <w:szCs w:val="20"/>
    </w:rPr>
  </w:style>
  <w:style w:type="paragraph" w:styleId="6">
    <w:name w:val="heading 4"/>
    <w:basedOn w:val="1"/>
    <w:next w:val="1"/>
    <w:autoRedefine/>
    <w:qFormat/>
    <w:uiPriority w:val="0"/>
    <w:pPr>
      <w:adjustRightInd w:val="0"/>
      <w:spacing w:before="120" w:line="360" w:lineRule="auto"/>
      <w:textAlignment w:val="baseline"/>
      <w:outlineLvl w:val="3"/>
    </w:pPr>
    <w:rPr>
      <w:rFonts w:ascii="Arial" w:hAnsi="Arial" w:eastAsia="黑体"/>
      <w:kern w:val="0"/>
      <w:sz w:val="28"/>
      <w:szCs w:val="20"/>
    </w:rPr>
  </w:style>
  <w:style w:type="paragraph" w:styleId="7">
    <w:name w:val="heading 5"/>
    <w:basedOn w:val="1"/>
    <w:next w:val="1"/>
    <w:link w:val="71"/>
    <w:autoRedefine/>
    <w:qFormat/>
    <w:uiPriority w:val="9"/>
    <w:pPr>
      <w:keepNext/>
      <w:keepLines/>
      <w:spacing w:before="280" w:after="290" w:line="376" w:lineRule="auto"/>
      <w:outlineLvl w:val="4"/>
    </w:pPr>
    <w:rPr>
      <w:b/>
      <w:bCs/>
      <w:sz w:val="28"/>
      <w:szCs w:val="28"/>
    </w:rPr>
  </w:style>
  <w:style w:type="paragraph" w:styleId="8">
    <w:name w:val="heading 6"/>
    <w:basedOn w:val="1"/>
    <w:next w:val="1"/>
    <w:link w:val="81"/>
    <w:autoRedefine/>
    <w:qFormat/>
    <w:uiPriority w:val="9"/>
    <w:pPr>
      <w:keepNext/>
      <w:keepLines/>
      <w:spacing w:before="240" w:after="64" w:line="320" w:lineRule="auto"/>
      <w:outlineLvl w:val="5"/>
    </w:pPr>
    <w:rPr>
      <w:rFonts w:ascii="等线 Light" w:hAnsi="等线 Light" w:eastAsia="等线 Light"/>
      <w:b/>
      <w:bCs/>
      <w:sz w:val="24"/>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2"/>
    <w:autoRedefine/>
    <w:qFormat/>
    <w:uiPriority w:val="99"/>
    <w:rPr>
      <w:rFonts w:ascii="金山简黑体" w:hAnsi="金山简黑体" w:eastAsia="金山简黑体"/>
      <w:b/>
      <w:spacing w:val="-8"/>
      <w:sz w:val="44"/>
      <w:szCs w:val="20"/>
    </w:rPr>
  </w:style>
  <w:style w:type="paragraph" w:styleId="9">
    <w:name w:val="toc 7"/>
    <w:basedOn w:val="1"/>
    <w:next w:val="1"/>
    <w:autoRedefine/>
    <w:qFormat/>
    <w:uiPriority w:val="39"/>
    <w:pPr>
      <w:ind w:left="1260"/>
      <w:jc w:val="left"/>
    </w:pPr>
    <w:rPr>
      <w:rFonts w:ascii="等线" w:eastAsia="等线"/>
      <w:sz w:val="18"/>
      <w:szCs w:val="18"/>
    </w:rPr>
  </w:style>
  <w:style w:type="paragraph" w:styleId="10">
    <w:name w:val="table of authorities"/>
    <w:basedOn w:val="1"/>
    <w:next w:val="1"/>
    <w:autoRedefine/>
    <w:unhideWhenUsed/>
    <w:qFormat/>
    <w:uiPriority w:val="99"/>
    <w:pPr>
      <w:ind w:left="420" w:leftChars="200"/>
    </w:pPr>
  </w:style>
  <w:style w:type="paragraph" w:styleId="11">
    <w:name w:val="Normal Indent"/>
    <w:basedOn w:val="1"/>
    <w:next w:val="1"/>
    <w:link w:val="82"/>
    <w:autoRedefine/>
    <w:qFormat/>
    <w:uiPriority w:val="0"/>
    <w:pPr>
      <w:ind w:firstLine="420"/>
    </w:pPr>
    <w:rPr>
      <w:szCs w:val="20"/>
    </w:rPr>
  </w:style>
  <w:style w:type="paragraph" w:styleId="12">
    <w:name w:val="Document Map"/>
    <w:basedOn w:val="1"/>
    <w:autoRedefine/>
    <w:qFormat/>
    <w:uiPriority w:val="0"/>
    <w:pPr>
      <w:shd w:val="clear" w:color="auto" w:fill="000080"/>
    </w:pPr>
  </w:style>
  <w:style w:type="paragraph" w:styleId="13">
    <w:name w:val="toa heading"/>
    <w:basedOn w:val="1"/>
    <w:next w:val="1"/>
    <w:autoRedefine/>
    <w:semiHidden/>
    <w:qFormat/>
    <w:uiPriority w:val="0"/>
    <w:pPr>
      <w:spacing w:before="120"/>
    </w:pPr>
    <w:rPr>
      <w:rFonts w:ascii="Arial" w:hAnsi="Arial" w:cs="Arial"/>
      <w:sz w:val="24"/>
    </w:rPr>
  </w:style>
  <w:style w:type="paragraph" w:styleId="14">
    <w:name w:val="annotation text"/>
    <w:basedOn w:val="1"/>
    <w:link w:val="90"/>
    <w:autoRedefine/>
    <w:qFormat/>
    <w:uiPriority w:val="99"/>
    <w:pPr>
      <w:jc w:val="left"/>
    </w:pPr>
  </w:style>
  <w:style w:type="paragraph" w:styleId="15">
    <w:name w:val="Body Text 3"/>
    <w:basedOn w:val="1"/>
    <w:autoRedefine/>
    <w:qFormat/>
    <w:uiPriority w:val="0"/>
    <w:rPr>
      <w:sz w:val="24"/>
    </w:rPr>
  </w:style>
  <w:style w:type="paragraph" w:styleId="16">
    <w:name w:val="Body Text Indent"/>
    <w:basedOn w:val="1"/>
    <w:next w:val="17"/>
    <w:autoRedefine/>
    <w:qFormat/>
    <w:uiPriority w:val="0"/>
    <w:pPr>
      <w:spacing w:line="200" w:lineRule="exact"/>
      <w:ind w:firstLine="301"/>
    </w:pPr>
    <w:rPr>
      <w:rFonts w:ascii="宋体"/>
      <w:spacing w:val="-4"/>
      <w:sz w:val="18"/>
      <w:szCs w:val="20"/>
    </w:rPr>
  </w:style>
  <w:style w:type="paragraph" w:styleId="17">
    <w:name w:val="Body Text First Indent 2"/>
    <w:basedOn w:val="16"/>
    <w:next w:val="18"/>
    <w:autoRedefine/>
    <w:qFormat/>
    <w:uiPriority w:val="0"/>
    <w:pPr>
      <w:spacing w:line="460" w:lineRule="exact"/>
      <w:ind w:firstLine="420"/>
    </w:pPr>
    <w:rPr>
      <w:rFonts w:ascii="Calibri" w:hAnsi="宋体"/>
      <w:szCs w:val="22"/>
    </w:rPr>
  </w:style>
  <w:style w:type="paragraph" w:styleId="18">
    <w:name w:val="Body Text First Indent"/>
    <w:basedOn w:val="2"/>
    <w:next w:val="1"/>
    <w:qFormat/>
    <w:uiPriority w:val="0"/>
    <w:pPr>
      <w:spacing w:after="120"/>
      <w:ind w:firstLine="420" w:firstLineChars="100"/>
    </w:pPr>
  </w:style>
  <w:style w:type="paragraph" w:styleId="19">
    <w:name w:val="toc 5"/>
    <w:basedOn w:val="1"/>
    <w:next w:val="1"/>
    <w:autoRedefine/>
    <w:qFormat/>
    <w:uiPriority w:val="39"/>
    <w:pPr>
      <w:ind w:left="840"/>
      <w:jc w:val="left"/>
    </w:pPr>
    <w:rPr>
      <w:rFonts w:ascii="等线" w:eastAsia="等线"/>
      <w:sz w:val="18"/>
      <w:szCs w:val="18"/>
    </w:rPr>
  </w:style>
  <w:style w:type="paragraph" w:styleId="20">
    <w:name w:val="toc 3"/>
    <w:basedOn w:val="1"/>
    <w:next w:val="1"/>
    <w:autoRedefine/>
    <w:qFormat/>
    <w:uiPriority w:val="39"/>
    <w:pPr>
      <w:ind w:left="420"/>
      <w:jc w:val="left"/>
    </w:pPr>
    <w:rPr>
      <w:rFonts w:ascii="等线" w:eastAsia="等线"/>
      <w:i/>
      <w:iCs/>
      <w:sz w:val="20"/>
      <w:szCs w:val="20"/>
    </w:rPr>
  </w:style>
  <w:style w:type="paragraph" w:styleId="21">
    <w:name w:val="Plain Text"/>
    <w:basedOn w:val="1"/>
    <w:next w:val="1"/>
    <w:link w:val="83"/>
    <w:autoRedefine/>
    <w:qFormat/>
    <w:uiPriority w:val="0"/>
    <w:rPr>
      <w:rFonts w:ascii="宋体"/>
      <w:szCs w:val="20"/>
    </w:rPr>
  </w:style>
  <w:style w:type="paragraph" w:styleId="22">
    <w:name w:val="toc 8"/>
    <w:basedOn w:val="1"/>
    <w:next w:val="1"/>
    <w:autoRedefine/>
    <w:qFormat/>
    <w:uiPriority w:val="39"/>
    <w:pPr>
      <w:ind w:left="1470"/>
      <w:jc w:val="left"/>
    </w:pPr>
    <w:rPr>
      <w:rFonts w:ascii="等线" w:eastAsia="等线"/>
      <w:sz w:val="18"/>
      <w:szCs w:val="18"/>
    </w:rPr>
  </w:style>
  <w:style w:type="paragraph" w:styleId="23">
    <w:name w:val="Date"/>
    <w:basedOn w:val="1"/>
    <w:next w:val="1"/>
    <w:link w:val="85"/>
    <w:autoRedefine/>
    <w:qFormat/>
    <w:uiPriority w:val="99"/>
    <w:rPr>
      <w:b/>
      <w:sz w:val="28"/>
      <w:szCs w:val="22"/>
    </w:rPr>
  </w:style>
  <w:style w:type="paragraph" w:styleId="24">
    <w:name w:val="Body Text Indent 2"/>
    <w:basedOn w:val="1"/>
    <w:autoRedefine/>
    <w:qFormat/>
    <w:uiPriority w:val="0"/>
    <w:pPr>
      <w:spacing w:after="120" w:line="480" w:lineRule="auto"/>
      <w:ind w:left="200" w:leftChars="200"/>
    </w:pPr>
  </w:style>
  <w:style w:type="paragraph" w:styleId="25">
    <w:name w:val="Balloon Text"/>
    <w:basedOn w:val="1"/>
    <w:link w:val="86"/>
    <w:autoRedefine/>
    <w:qFormat/>
    <w:uiPriority w:val="0"/>
    <w:rPr>
      <w:sz w:val="18"/>
      <w:szCs w:val="18"/>
    </w:rPr>
  </w:style>
  <w:style w:type="paragraph" w:styleId="26">
    <w:name w:val="footer"/>
    <w:basedOn w:val="1"/>
    <w:link w:val="61"/>
    <w:autoRedefine/>
    <w:qFormat/>
    <w:uiPriority w:val="0"/>
    <w:pPr>
      <w:tabs>
        <w:tab w:val="center" w:pos="4153"/>
        <w:tab w:val="right" w:pos="8306"/>
      </w:tabs>
      <w:snapToGrid w:val="0"/>
      <w:jc w:val="left"/>
    </w:pPr>
    <w:rPr>
      <w:rFonts w:ascii="宋体"/>
      <w:sz w:val="18"/>
      <w:szCs w:val="20"/>
    </w:rPr>
  </w:style>
  <w:style w:type="paragraph" w:styleId="27">
    <w:name w:val="envelope return"/>
    <w:basedOn w:val="1"/>
    <w:qFormat/>
    <w:uiPriority w:val="0"/>
    <w:pPr>
      <w:snapToGrid w:val="0"/>
    </w:pPr>
    <w:rPr>
      <w:rFonts w:ascii="Arial" w:hAnsi="Arial"/>
    </w:rPr>
  </w:style>
  <w:style w:type="paragraph" w:styleId="2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autoRedefine/>
    <w:qFormat/>
    <w:uiPriority w:val="39"/>
    <w:pPr>
      <w:spacing w:before="120" w:after="120"/>
      <w:jc w:val="left"/>
    </w:pPr>
    <w:rPr>
      <w:rFonts w:ascii="等线" w:eastAsia="等线"/>
      <w:b/>
      <w:bCs/>
      <w:caps/>
      <w:sz w:val="20"/>
      <w:szCs w:val="20"/>
    </w:rPr>
  </w:style>
  <w:style w:type="paragraph" w:styleId="30">
    <w:name w:val="toc 4"/>
    <w:basedOn w:val="1"/>
    <w:next w:val="1"/>
    <w:autoRedefine/>
    <w:qFormat/>
    <w:uiPriority w:val="39"/>
    <w:pPr>
      <w:ind w:left="630"/>
      <w:jc w:val="left"/>
    </w:pPr>
    <w:rPr>
      <w:rFonts w:ascii="等线" w:eastAsia="等线"/>
      <w:sz w:val="18"/>
      <w:szCs w:val="18"/>
    </w:rPr>
  </w:style>
  <w:style w:type="paragraph" w:styleId="31">
    <w:name w:val="toc 6"/>
    <w:basedOn w:val="1"/>
    <w:next w:val="1"/>
    <w:autoRedefine/>
    <w:qFormat/>
    <w:uiPriority w:val="39"/>
    <w:pPr>
      <w:ind w:left="1050"/>
      <w:jc w:val="left"/>
    </w:pPr>
    <w:rPr>
      <w:rFonts w:ascii="等线" w:eastAsia="等线"/>
      <w:sz w:val="18"/>
      <w:szCs w:val="18"/>
    </w:rPr>
  </w:style>
  <w:style w:type="paragraph" w:styleId="32">
    <w:name w:val="Body Text Indent 3"/>
    <w:basedOn w:val="1"/>
    <w:autoRedefine/>
    <w:qFormat/>
    <w:uiPriority w:val="0"/>
    <w:pPr>
      <w:spacing w:line="400" w:lineRule="exact"/>
      <w:ind w:left="360"/>
    </w:pPr>
    <w:rPr>
      <w:sz w:val="24"/>
    </w:rPr>
  </w:style>
  <w:style w:type="paragraph" w:styleId="33">
    <w:name w:val="toc 2"/>
    <w:basedOn w:val="1"/>
    <w:next w:val="1"/>
    <w:autoRedefine/>
    <w:qFormat/>
    <w:uiPriority w:val="39"/>
    <w:pPr>
      <w:ind w:left="210"/>
      <w:jc w:val="left"/>
    </w:pPr>
    <w:rPr>
      <w:rFonts w:ascii="等线" w:eastAsia="等线"/>
      <w:smallCaps/>
      <w:sz w:val="20"/>
      <w:szCs w:val="20"/>
    </w:rPr>
  </w:style>
  <w:style w:type="paragraph" w:styleId="34">
    <w:name w:val="toc 9"/>
    <w:basedOn w:val="1"/>
    <w:next w:val="1"/>
    <w:autoRedefine/>
    <w:qFormat/>
    <w:uiPriority w:val="39"/>
    <w:pPr>
      <w:ind w:left="1680"/>
      <w:jc w:val="left"/>
    </w:pPr>
    <w:rPr>
      <w:rFonts w:ascii="等线" w:eastAsia="等线"/>
      <w:sz w:val="18"/>
      <w:szCs w:val="18"/>
    </w:rPr>
  </w:style>
  <w:style w:type="paragraph" w:styleId="35">
    <w:name w:val="Body Text 2"/>
    <w:basedOn w:val="1"/>
    <w:autoRedefine/>
    <w:qFormat/>
    <w:uiPriority w:val="0"/>
    <w:rPr>
      <w:rFonts w:ascii="宋体"/>
      <w:sz w:val="13"/>
      <w:szCs w:val="20"/>
    </w:rPr>
  </w:style>
  <w:style w:type="paragraph" w:styleId="36">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qFormat/>
    <w:uiPriority w:val="0"/>
  </w:style>
  <w:style w:type="paragraph" w:styleId="40">
    <w:name w:val="Title"/>
    <w:basedOn w:val="1"/>
    <w:next w:val="1"/>
    <w:qFormat/>
    <w:uiPriority w:val="0"/>
    <w:pPr>
      <w:spacing w:before="240" w:after="60"/>
      <w:jc w:val="center"/>
      <w:outlineLvl w:val="0"/>
    </w:pPr>
    <w:rPr>
      <w:rFonts w:ascii="Cambria" w:hAnsi="Cambria"/>
      <w:b/>
      <w:bCs/>
      <w:sz w:val="32"/>
      <w:szCs w:val="32"/>
    </w:rPr>
  </w:style>
  <w:style w:type="paragraph" w:styleId="41">
    <w:name w:val="annotation subject"/>
    <w:basedOn w:val="14"/>
    <w:next w:val="14"/>
    <w:link w:val="73"/>
    <w:autoRedefine/>
    <w:qFormat/>
    <w:uiPriority w:val="0"/>
    <w:rPr>
      <w:b/>
      <w:bCs/>
    </w:rPr>
  </w:style>
  <w:style w:type="table" w:styleId="43">
    <w:name w:val="Table Grid"/>
    <w:basedOn w:val="42"/>
    <w:autoRedefine/>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Grid 5"/>
    <w:basedOn w:val="42"/>
    <w:autoRedefine/>
    <w:qFormat/>
    <w:uiPriority w:val="0"/>
    <w:pPr>
      <w:widowControl w:val="0"/>
      <w:jc w:val="both"/>
    </w:p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shd w:val="clear" w:color="auto" w:fill="auto"/>
    </w:tcPr>
    <w:tblStylePr w:type="firstRow">
      <w:tblPr/>
      <w:tcPr>
        <w:tcBorders>
          <w:top w:val="nil"/>
          <w:left w:val="nil"/>
          <w:bottom w:val="single" w:color="auto"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auto" w:sz="6" w:space="0"/>
          <w:tr2bl w:val="nil"/>
        </w:tcBorders>
      </w:tcPr>
    </w:tblStylePr>
  </w:style>
  <w:style w:type="character" w:styleId="46">
    <w:name w:val="Strong"/>
    <w:basedOn w:val="45"/>
    <w:qFormat/>
    <w:uiPriority w:val="0"/>
    <w:rPr>
      <w:b/>
    </w:rPr>
  </w:style>
  <w:style w:type="character" w:styleId="47">
    <w:name w:val="page number"/>
    <w:autoRedefine/>
    <w:qFormat/>
    <w:uiPriority w:val="0"/>
    <w:rPr>
      <w:rFonts w:ascii="Times New Roman" w:hAnsi="Times New Roman" w:eastAsia="宋体" w:cs="Times New Roman"/>
      <w:lang w:val="en-US" w:eastAsia="zh-CN" w:bidi="ar-SA"/>
    </w:rPr>
  </w:style>
  <w:style w:type="character" w:styleId="48">
    <w:name w:val="FollowedHyperlink"/>
    <w:autoRedefine/>
    <w:qFormat/>
    <w:uiPriority w:val="0"/>
    <w:rPr>
      <w:rFonts w:ascii="Times New Roman" w:hAnsi="Times New Roman" w:eastAsia="宋体" w:cs="Times New Roman"/>
      <w:color w:val="800080"/>
      <w:u w:val="single"/>
      <w:lang w:val="en-US" w:eastAsia="zh-CN" w:bidi="ar-SA"/>
    </w:rPr>
  </w:style>
  <w:style w:type="character" w:styleId="49">
    <w:name w:val="Hyperlink"/>
    <w:autoRedefine/>
    <w:qFormat/>
    <w:uiPriority w:val="99"/>
    <w:rPr>
      <w:rFonts w:ascii="Times New Roman" w:hAnsi="Times New Roman" w:eastAsia="宋体" w:cs="Times New Roman"/>
      <w:color w:val="0000FF"/>
      <w:u w:val="single"/>
      <w:lang w:val="en-US" w:eastAsia="zh-CN" w:bidi="ar-SA"/>
    </w:rPr>
  </w:style>
  <w:style w:type="character" w:styleId="50">
    <w:name w:val="HTML Code"/>
    <w:basedOn w:val="45"/>
    <w:semiHidden/>
    <w:unhideWhenUsed/>
    <w:qFormat/>
    <w:uiPriority w:val="99"/>
    <w:rPr>
      <w:rFonts w:ascii="Courier New" w:hAnsi="Courier New"/>
      <w:sz w:val="20"/>
    </w:rPr>
  </w:style>
  <w:style w:type="character" w:styleId="51">
    <w:name w:val="annotation reference"/>
    <w:autoRedefine/>
    <w:qFormat/>
    <w:uiPriority w:val="99"/>
    <w:rPr>
      <w:rFonts w:ascii="Times New Roman" w:hAnsi="Times New Roman" w:eastAsia="宋体" w:cs="Times New Roman"/>
      <w:sz w:val="21"/>
      <w:szCs w:val="21"/>
      <w:lang w:val="en-US" w:eastAsia="zh-CN" w:bidi="ar-SA"/>
    </w:rPr>
  </w:style>
  <w:style w:type="paragraph" w:customStyle="1" w:styleId="52">
    <w:name w:val="Default"/>
    <w:basedOn w:val="53"/>
    <w:autoRedefine/>
    <w:qFormat/>
    <w:uiPriority w:val="0"/>
    <w:pPr>
      <w:autoSpaceDE w:val="0"/>
      <w:autoSpaceDN w:val="0"/>
      <w:adjustRightInd w:val="0"/>
    </w:pPr>
    <w:rPr>
      <w:rFonts w:hAnsi="Times New Roman" w:cs="宋体"/>
      <w:color w:val="000000"/>
      <w:sz w:val="24"/>
      <w:szCs w:val="24"/>
    </w:rPr>
  </w:style>
  <w:style w:type="paragraph" w:customStyle="1" w:styleId="53">
    <w:name w:val="Plain Text1"/>
    <w:basedOn w:val="1"/>
    <w:qFormat/>
    <w:uiPriority w:val="0"/>
    <w:rPr>
      <w:rFonts w:ascii="宋体" w:hAnsi="Courier New" w:cs="黑体"/>
      <w:szCs w:val="22"/>
    </w:rPr>
  </w:style>
  <w:style w:type="paragraph" w:customStyle="1" w:styleId="54">
    <w:name w:val="一级条标题"/>
    <w:basedOn w:val="55"/>
    <w:next w:val="56"/>
    <w:qFormat/>
    <w:uiPriority w:val="0"/>
    <w:pPr>
      <w:spacing w:beforeLines="0" w:afterLines="0"/>
      <w:ind w:left="1035" w:hanging="570"/>
      <w:outlineLvl w:val="2"/>
    </w:pPr>
  </w:style>
  <w:style w:type="paragraph" w:customStyle="1" w:styleId="55">
    <w:name w:val="章标题"/>
    <w:basedOn w:val="1"/>
    <w:next w:val="1"/>
    <w:qFormat/>
    <w:uiPriority w:val="0"/>
    <w:pPr>
      <w:spacing w:beforeLines="50" w:afterLines="50"/>
      <w:outlineLvl w:val="1"/>
    </w:pPr>
    <w:rPr>
      <w:rFonts w:ascii="黑体" w:hAnsi="Calibri" w:eastAsia="黑体" w:cs="宋体"/>
    </w:rPr>
  </w:style>
  <w:style w:type="paragraph" w:customStyle="1" w:styleId="56">
    <w:name w:val="段"/>
    <w:basedOn w:val="1"/>
    <w:next w:val="1"/>
    <w:qFormat/>
    <w:uiPriority w:val="0"/>
    <w:pPr>
      <w:autoSpaceDE w:val="0"/>
      <w:autoSpaceDN w:val="0"/>
      <w:ind w:firstLine="200" w:firstLineChars="200"/>
    </w:pPr>
    <w:rPr>
      <w:rFonts w:ascii="宋体" w:hAnsi="宋体" w:cs="宋体"/>
    </w:rPr>
  </w:style>
  <w:style w:type="paragraph" w:customStyle="1" w:styleId="57">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58">
    <w:name w:val="列出段落1"/>
    <w:basedOn w:val="1"/>
    <w:autoRedefine/>
    <w:qFormat/>
    <w:uiPriority w:val="0"/>
    <w:pPr>
      <w:ind w:firstLine="420" w:firstLineChars="200"/>
    </w:pPr>
    <w:rPr>
      <w:rFonts w:ascii="Calibri" w:hAnsi="Calibri"/>
      <w:szCs w:val="22"/>
    </w:rPr>
  </w:style>
  <w:style w:type="paragraph" w:customStyle="1" w:styleId="59">
    <w:name w:val="表格文字"/>
    <w:basedOn w:val="1"/>
    <w:autoRedefine/>
    <w:qFormat/>
    <w:uiPriority w:val="0"/>
    <w:pPr>
      <w:jc w:val="center"/>
    </w:pPr>
    <w:rPr>
      <w:rFonts w:ascii="宋体" w:hAnsi="宋体"/>
      <w:color w:val="000000"/>
      <w:sz w:val="24"/>
    </w:rPr>
  </w:style>
  <w:style w:type="paragraph" w:styleId="60">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61">
    <w:name w:val="页脚 字符"/>
    <w:link w:val="26"/>
    <w:autoRedefine/>
    <w:qFormat/>
    <w:uiPriority w:val="0"/>
    <w:rPr>
      <w:rFonts w:ascii="宋体" w:hAnsi="Times New Roman" w:eastAsia="宋体" w:cs="Times New Roman"/>
      <w:kern w:val="2"/>
      <w:sz w:val="18"/>
      <w:lang w:val="en-US" w:eastAsia="zh-CN" w:bidi="ar-SA"/>
    </w:rPr>
  </w:style>
  <w:style w:type="character" w:customStyle="1" w:styleId="62">
    <w:name w:val="正文文本 字符"/>
    <w:link w:val="2"/>
    <w:autoRedefine/>
    <w:qFormat/>
    <w:uiPriority w:val="99"/>
    <w:rPr>
      <w:rFonts w:ascii="金山简黑体" w:hAnsi="金山简黑体" w:eastAsia="金山简黑体" w:cs="Times New Roman"/>
      <w:b/>
      <w:spacing w:val="-8"/>
      <w:kern w:val="2"/>
      <w:sz w:val="44"/>
      <w:lang w:val="en-US" w:eastAsia="zh-CN" w:bidi="ar-SA"/>
    </w:rPr>
  </w:style>
  <w:style w:type="character" w:customStyle="1" w:styleId="63">
    <w:name w:val="标题 3 Char"/>
    <w:autoRedefine/>
    <w:qFormat/>
    <w:uiPriority w:val="0"/>
    <w:rPr>
      <w:rFonts w:ascii="Arial" w:hAnsi="Arial" w:eastAsia="黑体" w:cs="Times New Roman"/>
      <w:b/>
      <w:sz w:val="28"/>
      <w:lang w:val="en-US" w:eastAsia="zh-CN" w:bidi="ar-SA"/>
    </w:rPr>
  </w:style>
  <w:style w:type="character" w:customStyle="1" w:styleId="64">
    <w:name w:val="NormalCharacter"/>
    <w:autoRedefine/>
    <w:qFormat/>
    <w:uiPriority w:val="0"/>
    <w:rPr>
      <w:rFonts w:ascii="Calibri" w:hAnsi="Calibri" w:eastAsia="宋体" w:cs="Times New Roman"/>
      <w:kern w:val="2"/>
      <w:sz w:val="21"/>
      <w:szCs w:val="24"/>
      <w:lang w:val="en-US" w:eastAsia="zh-CN" w:bidi="ar-SA"/>
    </w:rPr>
  </w:style>
  <w:style w:type="character" w:customStyle="1" w:styleId="65">
    <w:name w:val="apple-converted-space"/>
    <w:autoRedefine/>
    <w:qFormat/>
    <w:uiPriority w:val="0"/>
    <w:rPr>
      <w:rFonts w:ascii="Times New Roman" w:hAnsi="Times New Roman" w:eastAsia="宋体" w:cs="Times New Roman"/>
      <w:lang w:val="en-US" w:eastAsia="zh-CN" w:bidi="ar-SA"/>
    </w:rPr>
  </w:style>
  <w:style w:type="character" w:customStyle="1" w:styleId="66">
    <w:name w:val="ft1"/>
    <w:autoRedefine/>
    <w:qFormat/>
    <w:uiPriority w:val="0"/>
    <w:rPr>
      <w:rFonts w:ascii="Times New Roman" w:hAnsi="Times New Roman" w:eastAsia="宋体" w:cs="Times New Roman"/>
      <w:lang w:val="en-US" w:eastAsia="zh-CN" w:bidi="ar-SA"/>
    </w:rPr>
  </w:style>
  <w:style w:type="character" w:customStyle="1" w:styleId="67">
    <w:name w:val="grame"/>
    <w:autoRedefine/>
    <w:qFormat/>
    <w:uiPriority w:val="0"/>
    <w:rPr>
      <w:rFonts w:ascii="Times New Roman" w:hAnsi="Times New Roman" w:eastAsia="宋体" w:cs="Times New Roman"/>
      <w:lang w:val="en-US" w:eastAsia="zh-CN" w:bidi="ar-SA"/>
    </w:rPr>
  </w:style>
  <w:style w:type="character" w:customStyle="1" w:styleId="68">
    <w:name w:val="普通文字1 Char2"/>
    <w:autoRedefine/>
    <w:qFormat/>
    <w:uiPriority w:val="0"/>
    <w:rPr>
      <w:rFonts w:ascii="宋体" w:hAnsi="Times New Roman" w:eastAsia="宋体" w:cs="Times New Roman"/>
      <w:kern w:val="2"/>
      <w:sz w:val="21"/>
      <w:lang w:val="en-US" w:eastAsia="zh-CN" w:bidi="ar-SA"/>
    </w:rPr>
  </w:style>
  <w:style w:type="character" w:customStyle="1" w:styleId="69">
    <w:name w:val="未处理的提及2"/>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0">
    <w:name w:val="纯文本 Char1"/>
    <w:autoRedefine/>
    <w:qFormat/>
    <w:uiPriority w:val="0"/>
    <w:rPr>
      <w:rFonts w:ascii="宋体" w:hAnsi="宋体" w:eastAsia="宋体" w:cs="Times New Roman"/>
      <w:kern w:val="2"/>
      <w:sz w:val="21"/>
      <w:lang w:val="en-US" w:eastAsia="zh-CN" w:bidi="ar-SA"/>
    </w:rPr>
  </w:style>
  <w:style w:type="character" w:customStyle="1" w:styleId="71">
    <w:name w:val="标题 5 字符"/>
    <w:link w:val="7"/>
    <w:autoRedefine/>
    <w:semiHidden/>
    <w:qFormat/>
    <w:uiPriority w:val="9"/>
    <w:rPr>
      <w:rFonts w:ascii="Times New Roman" w:hAnsi="Times New Roman" w:eastAsia="宋体" w:cs="Times New Roman"/>
      <w:b/>
      <w:bCs/>
      <w:kern w:val="2"/>
      <w:sz w:val="28"/>
      <w:szCs w:val="28"/>
      <w:lang w:val="en-US" w:eastAsia="zh-CN" w:bidi="ar-SA"/>
    </w:rPr>
  </w:style>
  <w:style w:type="character" w:customStyle="1" w:styleId="72">
    <w:name w:val="正文缩进 Char1"/>
    <w:autoRedefine/>
    <w:qFormat/>
    <w:uiPriority w:val="0"/>
    <w:rPr>
      <w:rFonts w:ascii="Times New Roman" w:hAnsi="Times New Roman" w:eastAsia="宋体" w:cs="Times New Roman"/>
      <w:kern w:val="2"/>
      <w:sz w:val="21"/>
      <w:lang w:val="en-US" w:eastAsia="zh-CN" w:bidi="ar-SA"/>
    </w:rPr>
  </w:style>
  <w:style w:type="character" w:customStyle="1" w:styleId="73">
    <w:name w:val="批注主题 字符"/>
    <w:link w:val="41"/>
    <w:autoRedefine/>
    <w:qFormat/>
    <w:uiPriority w:val="0"/>
    <w:rPr>
      <w:rFonts w:ascii="Times New Roman" w:hAnsi="Times New Roman" w:eastAsia="宋体" w:cs="Times New Roman"/>
      <w:b/>
      <w:bCs/>
      <w:kern w:val="2"/>
      <w:sz w:val="21"/>
      <w:szCs w:val="24"/>
      <w:lang w:val="en-US" w:eastAsia="zh-CN" w:bidi="ar-SA"/>
    </w:rPr>
  </w:style>
  <w:style w:type="character" w:customStyle="1" w:styleId="74">
    <w:name w:val="标题 2 字符"/>
    <w:autoRedefine/>
    <w:qFormat/>
    <w:uiPriority w:val="0"/>
    <w:rPr>
      <w:rFonts w:ascii="Times New Roman" w:hAnsi="Times New Roman" w:eastAsia="黑体" w:cs="Times New Roman"/>
      <w:b/>
      <w:sz w:val="28"/>
      <w:lang w:val="en-US" w:eastAsia="zh-CN" w:bidi="ar-SA"/>
    </w:rPr>
  </w:style>
  <w:style w:type="character" w:customStyle="1" w:styleId="75">
    <w:name w:val="未处理的提及1"/>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6">
    <w:name w:val="未处理的提及3"/>
    <w:autoRedefine/>
    <w:unhideWhenUsed/>
    <w:qFormat/>
    <w:uiPriority w:val="99"/>
    <w:rPr>
      <w:rFonts w:ascii="Times New Roman" w:hAnsi="Times New Roman" w:eastAsia="宋体" w:cs="Times New Roman"/>
      <w:color w:val="605E5C"/>
      <w:shd w:val="clear" w:color="auto" w:fill="E1DFDD"/>
      <w:lang w:val="en-US" w:eastAsia="zh-CN" w:bidi="ar-SA"/>
    </w:rPr>
  </w:style>
  <w:style w:type="character" w:customStyle="1" w:styleId="77">
    <w:name w:val="列表段落 字符"/>
    <w:link w:val="78"/>
    <w:autoRedefine/>
    <w:qFormat/>
    <w:uiPriority w:val="0"/>
    <w:rPr>
      <w:rFonts w:ascii="Calibri" w:hAnsi="Calibri" w:eastAsia="宋体" w:cs="Times New Roman"/>
      <w:kern w:val="2"/>
      <w:sz w:val="21"/>
      <w:szCs w:val="22"/>
      <w:lang w:val="en-US" w:eastAsia="zh-CN" w:bidi="ar-SA"/>
    </w:rPr>
  </w:style>
  <w:style w:type="paragraph" w:styleId="78">
    <w:name w:val="List Paragraph"/>
    <w:basedOn w:val="1"/>
    <w:link w:val="77"/>
    <w:autoRedefine/>
    <w:qFormat/>
    <w:uiPriority w:val="34"/>
    <w:pPr>
      <w:ind w:firstLine="420" w:firstLineChars="200"/>
    </w:pPr>
    <w:rPr>
      <w:rFonts w:ascii="Calibri" w:hAnsi="Calibri"/>
      <w:szCs w:val="22"/>
    </w:rPr>
  </w:style>
  <w:style w:type="character" w:customStyle="1" w:styleId="79">
    <w:name w:val="标题 2 字符1"/>
    <w:autoRedefine/>
    <w:qFormat/>
    <w:uiPriority w:val="0"/>
    <w:rPr>
      <w:rFonts w:ascii="Times New Roman" w:hAnsi="Times New Roman" w:eastAsia="黑体" w:cs="Times New Roman"/>
      <w:b/>
      <w:sz w:val="28"/>
      <w:lang w:val="en-US" w:eastAsia="zh-CN" w:bidi="ar-SA"/>
    </w:rPr>
  </w:style>
  <w:style w:type="character" w:customStyle="1" w:styleId="80">
    <w:name w:val="标题 3 字符"/>
    <w:link w:val="5"/>
    <w:autoRedefine/>
    <w:qFormat/>
    <w:uiPriority w:val="0"/>
    <w:rPr>
      <w:rFonts w:eastAsia="黑体"/>
      <w:b/>
      <w:sz w:val="28"/>
    </w:rPr>
  </w:style>
  <w:style w:type="character" w:customStyle="1" w:styleId="81">
    <w:name w:val="标题 6 字符"/>
    <w:link w:val="8"/>
    <w:autoRedefine/>
    <w:semiHidden/>
    <w:qFormat/>
    <w:uiPriority w:val="9"/>
    <w:rPr>
      <w:rFonts w:ascii="等线 Light" w:hAnsi="等线 Light" w:eastAsia="等线 Light" w:cs="Times New Roman"/>
      <w:b/>
      <w:bCs/>
      <w:kern w:val="2"/>
      <w:sz w:val="24"/>
      <w:szCs w:val="24"/>
      <w:lang w:val="en-US" w:eastAsia="zh-CN" w:bidi="ar-SA"/>
    </w:rPr>
  </w:style>
  <w:style w:type="character" w:customStyle="1" w:styleId="82">
    <w:name w:val="正文缩进 字符"/>
    <w:link w:val="11"/>
    <w:autoRedefine/>
    <w:qFormat/>
    <w:uiPriority w:val="0"/>
    <w:rPr>
      <w:rFonts w:ascii="Times New Roman" w:hAnsi="Times New Roman" w:eastAsia="宋体" w:cs="Times New Roman"/>
      <w:kern w:val="2"/>
      <w:sz w:val="21"/>
      <w:lang w:val="en-US" w:eastAsia="zh-CN" w:bidi="ar-SA"/>
    </w:rPr>
  </w:style>
  <w:style w:type="character" w:customStyle="1" w:styleId="83">
    <w:name w:val="纯文本 字符1"/>
    <w:link w:val="21"/>
    <w:autoRedefine/>
    <w:qFormat/>
    <w:uiPriority w:val="0"/>
    <w:rPr>
      <w:rFonts w:ascii="宋体" w:hAnsi="Times New Roman" w:eastAsia="宋体" w:cs="Times New Roman"/>
      <w:kern w:val="2"/>
      <w:sz w:val="21"/>
      <w:lang w:val="en-US" w:eastAsia="zh-CN" w:bidi="ar-SA"/>
    </w:rPr>
  </w:style>
  <w:style w:type="character" w:customStyle="1" w:styleId="84">
    <w:name w:val="font21"/>
    <w:autoRedefine/>
    <w:qFormat/>
    <w:uiPriority w:val="0"/>
    <w:rPr>
      <w:rFonts w:hint="eastAsia" w:ascii="宋体" w:hAnsi="宋体" w:eastAsia="宋体" w:cs="Times New Roman"/>
      <w:b/>
      <w:bCs/>
      <w:color w:val="000000"/>
      <w:sz w:val="18"/>
      <w:szCs w:val="18"/>
      <w:u w:val="none"/>
      <w:lang w:val="en-US" w:eastAsia="zh-CN" w:bidi="ar-SA"/>
    </w:rPr>
  </w:style>
  <w:style w:type="character" w:customStyle="1" w:styleId="85">
    <w:name w:val="日期 字符"/>
    <w:link w:val="23"/>
    <w:autoRedefine/>
    <w:qFormat/>
    <w:uiPriority w:val="99"/>
    <w:rPr>
      <w:rFonts w:ascii="Times New Roman" w:hAnsi="Times New Roman" w:eastAsia="宋体" w:cs="Times New Roman"/>
      <w:b/>
      <w:kern w:val="2"/>
      <w:sz w:val="28"/>
      <w:szCs w:val="22"/>
      <w:lang w:val="en-US" w:eastAsia="zh-CN" w:bidi="ar-SA"/>
    </w:rPr>
  </w:style>
  <w:style w:type="character" w:customStyle="1" w:styleId="86">
    <w:name w:val="批注框文本 字符"/>
    <w:link w:val="25"/>
    <w:autoRedefine/>
    <w:qFormat/>
    <w:uiPriority w:val="0"/>
    <w:rPr>
      <w:rFonts w:ascii="Times New Roman" w:hAnsi="Times New Roman" w:eastAsia="宋体" w:cs="Times New Roman"/>
      <w:kern w:val="2"/>
      <w:sz w:val="18"/>
      <w:szCs w:val="18"/>
      <w:lang w:val="en-US" w:eastAsia="zh-CN" w:bidi="ar-SA"/>
    </w:rPr>
  </w:style>
  <w:style w:type="character" w:customStyle="1" w:styleId="87">
    <w:name w:val="纯文本 Char"/>
    <w:autoRedefine/>
    <w:qFormat/>
    <w:uiPriority w:val="0"/>
    <w:rPr>
      <w:rFonts w:ascii="宋体" w:hAnsi="Times New Roman" w:eastAsia="宋体" w:cs="Times New Roman"/>
      <w:kern w:val="2"/>
      <w:sz w:val="21"/>
      <w:lang w:val="en-US" w:eastAsia="zh-CN" w:bidi="ar-SA"/>
    </w:rPr>
  </w:style>
  <w:style w:type="character" w:customStyle="1" w:styleId="88">
    <w:name w:val="纯文本 字符"/>
    <w:autoRedefine/>
    <w:qFormat/>
    <w:uiPriority w:val="0"/>
    <w:rPr>
      <w:rFonts w:ascii="宋体" w:hAnsi="Times New Roman" w:eastAsia="宋体" w:cs="Times New Roman"/>
      <w:kern w:val="2"/>
      <w:sz w:val="21"/>
      <w:lang w:val="en-US" w:eastAsia="zh-CN" w:bidi="ar-SA"/>
    </w:rPr>
  </w:style>
  <w:style w:type="character" w:customStyle="1" w:styleId="89">
    <w:name w:val="未处理的提及4"/>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90">
    <w:name w:val="批注文字 字符"/>
    <w:link w:val="14"/>
    <w:autoRedefine/>
    <w:qFormat/>
    <w:uiPriority w:val="99"/>
    <w:rPr>
      <w:kern w:val="2"/>
      <w:sz w:val="21"/>
      <w:szCs w:val="24"/>
    </w:rPr>
  </w:style>
  <w:style w:type="paragraph" w:customStyle="1" w:styleId="91">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
    <w:name w:val="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3">
    <w:name w:val="Char2"/>
    <w:basedOn w:val="1"/>
    <w:autoRedefine/>
    <w:qFormat/>
    <w:uiPriority w:val="0"/>
  </w:style>
  <w:style w:type="paragraph" w:customStyle="1" w:styleId="94">
    <w:name w:val="g3"/>
    <w:basedOn w:val="1"/>
    <w:autoRedefine/>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95">
    <w:name w:val="正文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6">
    <w:name w:val="样式2"/>
    <w:basedOn w:val="4"/>
    <w:autoRedefine/>
    <w:qFormat/>
    <w:uiPriority w:val="0"/>
    <w:pPr>
      <w:spacing w:line="440" w:lineRule="exact"/>
      <w:jc w:val="center"/>
    </w:pPr>
    <w:rPr>
      <w:rFonts w:ascii="宋体" w:hAnsi="宋体" w:eastAsia="宋体"/>
      <w:b w:val="0"/>
      <w:sz w:val="32"/>
    </w:rPr>
  </w:style>
  <w:style w:type="paragraph" w:customStyle="1" w:styleId="97">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98">
    <w:name w:val="列表段落1"/>
    <w:basedOn w:val="1"/>
    <w:autoRedefine/>
    <w:qFormat/>
    <w:uiPriority w:val="0"/>
    <w:pPr>
      <w:widowControl/>
      <w:ind w:firstLine="420" w:firstLineChars="200"/>
      <w:jc w:val="left"/>
    </w:pPr>
    <w:rPr>
      <w:rFonts w:ascii="Cambria" w:hAnsi="Cambria"/>
      <w:kern w:val="0"/>
      <w:sz w:val="24"/>
    </w:rPr>
  </w:style>
  <w:style w:type="paragraph" w:customStyle="1" w:styleId="99">
    <w:name w:val="样式1"/>
    <w:basedOn w:val="4"/>
    <w:autoRedefine/>
    <w:qFormat/>
    <w:uiPriority w:val="0"/>
    <w:rPr>
      <w:rFonts w:eastAsia="宋体"/>
    </w:rPr>
  </w:style>
  <w:style w:type="paragraph" w:customStyle="1" w:styleId="100">
    <w:name w:val="xl23"/>
    <w:basedOn w:val="1"/>
    <w:autoRedefine/>
    <w:qFormat/>
    <w:uiPriority w:val="0"/>
    <w:pPr>
      <w:widowControl/>
      <w:spacing w:before="100" w:beforeAutospacing="1" w:after="100" w:afterAutospacing="1"/>
      <w:jc w:val="center"/>
    </w:pPr>
    <w:rPr>
      <w:rFonts w:ascii="Arial Unicode MS" w:hAnsi="Arial Unicode MS" w:eastAsia="Arial Unicode MS"/>
      <w:kern w:val="0"/>
      <w:sz w:val="24"/>
      <w:szCs w:val="20"/>
    </w:rPr>
  </w:style>
  <w:style w:type="paragraph" w:customStyle="1" w:styleId="101">
    <w:name w:val="页眉或页脚"/>
    <w:basedOn w:val="1"/>
    <w:autoRedefine/>
    <w:qFormat/>
    <w:uiPriority w:val="0"/>
    <w:rPr>
      <w:rFonts w:eastAsia="Times New Roman"/>
      <w:sz w:val="18"/>
      <w:szCs w:val="18"/>
    </w:rPr>
  </w:style>
  <w:style w:type="paragraph" w:customStyle="1" w:styleId="102">
    <w:name w:val="Char Char2 Char"/>
    <w:basedOn w:val="1"/>
    <w:autoRedefine/>
    <w:qFormat/>
    <w:uiPriority w:val="0"/>
    <w:pPr>
      <w:keepNext/>
      <w:keepLines/>
      <w:pageBreakBefore/>
      <w:tabs>
        <w:tab w:val="left" w:pos="390"/>
      </w:tabs>
      <w:ind w:left="390" w:hanging="390"/>
    </w:pPr>
    <w:rPr>
      <w:rFonts w:ascii="Tahoma" w:hAnsi="Tahoma"/>
      <w:sz w:val="24"/>
      <w:szCs w:val="20"/>
    </w:rPr>
  </w:style>
  <w:style w:type="paragraph" w:customStyle="1" w:styleId="103">
    <w:name w:val="正文 A"/>
    <w:autoRedefine/>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04">
    <w:name w:val="正文文本1"/>
    <w:basedOn w:val="1"/>
    <w:autoRedefine/>
    <w:qFormat/>
    <w:uiPriority w:val="0"/>
    <w:pPr>
      <w:spacing w:line="480" w:lineRule="auto"/>
    </w:pPr>
    <w:rPr>
      <w:rFonts w:ascii="宋体" w:hAnsi="宋体" w:cs="宋体"/>
      <w:sz w:val="19"/>
      <w:szCs w:val="19"/>
    </w:rPr>
  </w:style>
  <w:style w:type="paragraph" w:customStyle="1" w:styleId="105">
    <w:name w:val="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6">
    <w:name w:val="Char1"/>
    <w:basedOn w:val="1"/>
    <w:autoRedefine/>
    <w:qFormat/>
    <w:uiPriority w:val="0"/>
    <w:pPr>
      <w:widowControl/>
      <w:spacing w:after="160" w:line="240" w:lineRule="exact"/>
      <w:jc w:val="left"/>
    </w:pPr>
  </w:style>
  <w:style w:type="paragraph" w:customStyle="1" w:styleId="107">
    <w:name w:val="Char Char1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8">
    <w:name w:val="6'"/>
    <w:basedOn w:val="1"/>
    <w:autoRedefine/>
    <w:qFormat/>
    <w:uiPriority w:val="0"/>
    <w:pPr>
      <w:spacing w:line="320" w:lineRule="exact"/>
      <w:jc w:val="center"/>
    </w:pPr>
    <w:rPr>
      <w:color w:val="000000"/>
      <w:spacing w:val="20"/>
      <w:kern w:val="0"/>
      <w:szCs w:val="20"/>
    </w:rPr>
  </w:style>
  <w:style w:type="paragraph" w:customStyle="1" w:styleId="109">
    <w:name w:val="第四行"/>
    <w:basedOn w:val="1"/>
    <w:autoRedefine/>
    <w:qFormat/>
    <w:uiPriority w:val="0"/>
    <w:pPr>
      <w:tabs>
        <w:tab w:val="left" w:pos="1200"/>
      </w:tabs>
      <w:spacing w:line="360" w:lineRule="auto"/>
      <w:jc w:val="center"/>
    </w:pPr>
    <w:rPr>
      <w:rFonts w:ascii="宋体"/>
      <w:b/>
      <w:bCs/>
      <w:spacing w:val="40"/>
      <w:sz w:val="28"/>
      <w:szCs w:val="28"/>
    </w:rPr>
  </w:style>
  <w:style w:type="paragraph" w:customStyle="1" w:styleId="110">
    <w:name w:val="_正文段落"/>
    <w:basedOn w:val="1"/>
    <w:autoRedefine/>
    <w:qFormat/>
    <w:uiPriority w:val="0"/>
    <w:pPr>
      <w:spacing w:line="360" w:lineRule="auto"/>
    </w:pPr>
    <w:rPr>
      <w:rFonts w:eastAsia="仿宋_GB2312"/>
      <w:sz w:val="28"/>
    </w:rPr>
  </w:style>
  <w:style w:type="paragraph" w:customStyle="1" w:styleId="111">
    <w:name w:val="表格"/>
    <w:basedOn w:val="1"/>
    <w:autoRedefine/>
    <w:qFormat/>
    <w:uiPriority w:val="0"/>
    <w:pPr>
      <w:tabs>
        <w:tab w:val="left" w:pos="1200"/>
      </w:tabs>
      <w:spacing w:line="500" w:lineRule="exact"/>
      <w:jc w:val="center"/>
    </w:pPr>
    <w:rPr>
      <w:rFonts w:ascii="宋体"/>
      <w:sz w:val="24"/>
      <w:szCs w:val="18"/>
    </w:rPr>
  </w:style>
  <w:style w:type="paragraph" w:customStyle="1" w:styleId="112">
    <w:name w:val="Table Paragraph"/>
    <w:basedOn w:val="1"/>
    <w:autoRedefine/>
    <w:qFormat/>
    <w:uiPriority w:val="0"/>
    <w:pPr>
      <w:autoSpaceDE w:val="0"/>
      <w:autoSpaceDN w:val="0"/>
      <w:jc w:val="left"/>
    </w:pPr>
    <w:rPr>
      <w:rFonts w:ascii="宋体" w:hAnsi="宋体" w:cs="宋体"/>
      <w:kern w:val="0"/>
      <w:sz w:val="22"/>
      <w:szCs w:val="22"/>
      <w:lang w:eastAsia="en-US"/>
    </w:rPr>
  </w:style>
  <w:style w:type="paragraph" w:customStyle="1" w:styleId="113">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4">
    <w:name w:val="项目书正文"/>
    <w:basedOn w:val="1"/>
    <w:autoRedefine/>
    <w:qFormat/>
    <w:uiPriority w:val="0"/>
    <w:pPr>
      <w:widowControl/>
      <w:spacing w:beforeLines="50" w:afterLines="50" w:line="420" w:lineRule="auto"/>
      <w:ind w:firstLine="200" w:firstLineChars="200"/>
      <w:jc w:val="left"/>
    </w:pPr>
    <w:rPr>
      <w:rFonts w:ascii="Calibri" w:hAnsi="Calibri" w:cs="宋体"/>
      <w:kern w:val="0"/>
      <w:sz w:val="24"/>
      <w:szCs w:val="20"/>
    </w:rPr>
  </w:style>
  <w:style w:type="paragraph" w:customStyle="1" w:styleId="115">
    <w:name w:val="样式3"/>
    <w:basedOn w:val="5"/>
    <w:autoRedefine/>
    <w:qFormat/>
    <w:uiPriority w:val="0"/>
    <w:pPr>
      <w:ind w:left="101" w:hanging="101" w:hangingChars="101"/>
      <w:jc w:val="left"/>
    </w:pPr>
    <w:rPr>
      <w:rFonts w:eastAsia="宋体"/>
      <w:b w:val="0"/>
      <w:bCs/>
      <w:sz w:val="24"/>
      <w:szCs w:val="24"/>
    </w:rPr>
  </w:style>
  <w:style w:type="paragraph" w:customStyle="1" w:styleId="116">
    <w:name w:val="默认"/>
    <w:autoRedefine/>
    <w:qFormat/>
    <w:uiPriority w:val="0"/>
    <w:pPr>
      <w:spacing w:before="160" w:line="288" w:lineRule="auto"/>
    </w:pPr>
    <w:rPr>
      <w:rFonts w:hint="eastAsia" w:ascii="Arial Unicode MS" w:hAnsi="Arial Unicode MS" w:eastAsia="Arial Unicode MS" w:cs="Arial Unicode MS"/>
      <w:color w:val="000000"/>
      <w:sz w:val="24"/>
      <w:szCs w:val="24"/>
      <w:lang w:val="zh-CN" w:eastAsia="zh-CN" w:bidi="ar-SA"/>
    </w:rPr>
  </w:style>
  <w:style w:type="paragraph" w:customStyle="1" w:styleId="117">
    <w:name w:val="Content"/>
    <w:basedOn w:val="2"/>
    <w:autoRedefine/>
    <w:qFormat/>
    <w:uiPriority w:val="0"/>
    <w:pPr>
      <w:spacing w:line="360" w:lineRule="auto"/>
      <w:ind w:firstLine="480"/>
    </w:pPr>
    <w:rPr>
      <w:rFonts w:ascii="Times New Roman" w:hAnsi="Times New Roman" w:eastAsia="全真簡粗明"/>
      <w:b w:val="0"/>
      <w:snapToGrid w:val="0"/>
      <w:spacing w:val="0"/>
      <w:kern w:val="0"/>
      <w:sz w:val="24"/>
      <w:lang w:eastAsia="zh-TW"/>
    </w:rPr>
  </w:style>
  <w:style w:type="paragraph" w:customStyle="1" w:styleId="118">
    <w:name w:val="正文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纯文本 New New"/>
    <w:basedOn w:val="1"/>
    <w:next w:val="1"/>
    <w:autoRedefine/>
    <w:qFormat/>
    <w:uiPriority w:val="0"/>
    <w:pPr>
      <w:autoSpaceDE w:val="0"/>
      <w:autoSpaceDN w:val="0"/>
      <w:adjustRightInd w:val="0"/>
      <w:jc w:val="left"/>
    </w:pPr>
    <w:rPr>
      <w:rFonts w:ascii="宋体"/>
    </w:rPr>
  </w:style>
  <w:style w:type="paragraph" w:customStyle="1" w:styleId="120">
    <w:name w:val="Char Char Char"/>
    <w:basedOn w:val="1"/>
    <w:autoRedefine/>
    <w:qFormat/>
    <w:uiPriority w:val="0"/>
    <w:pPr>
      <w:ind w:firstLine="200" w:firstLineChars="200"/>
    </w:pPr>
    <w:rPr>
      <w:sz w:val="24"/>
    </w:rPr>
  </w:style>
  <w:style w:type="paragraph" w:customStyle="1" w:styleId="121">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
    <w:name w:val="样式 首行缩进:  2 字符"/>
    <w:basedOn w:val="1"/>
    <w:autoRedefine/>
    <w:qFormat/>
    <w:uiPriority w:val="0"/>
    <w:pPr>
      <w:spacing w:line="400" w:lineRule="exact"/>
      <w:ind w:firstLine="200" w:firstLineChars="200"/>
    </w:pPr>
    <w:rPr>
      <w:rFonts w:cs="宋体"/>
      <w:sz w:val="24"/>
    </w:rPr>
  </w:style>
  <w:style w:type="paragraph" w:customStyle="1" w:styleId="123">
    <w:name w:val="其他"/>
    <w:basedOn w:val="1"/>
    <w:autoRedefine/>
    <w:qFormat/>
    <w:uiPriority w:val="0"/>
    <w:pPr>
      <w:spacing w:line="446" w:lineRule="auto"/>
      <w:ind w:firstLine="400"/>
    </w:pPr>
    <w:rPr>
      <w:rFonts w:ascii="宋体" w:hAnsi="宋体" w:cs="宋体"/>
      <w:sz w:val="19"/>
      <w:szCs w:val="19"/>
    </w:rPr>
  </w:style>
  <w:style w:type="paragraph" w:customStyle="1" w:styleId="124">
    <w:name w:val="纯文本 New New New New"/>
    <w:basedOn w:val="1"/>
    <w:next w:val="1"/>
    <w:autoRedefine/>
    <w:qFormat/>
    <w:uiPriority w:val="0"/>
    <w:pPr>
      <w:autoSpaceDE w:val="0"/>
      <w:autoSpaceDN w:val="0"/>
      <w:adjustRightInd w:val="0"/>
      <w:jc w:val="left"/>
    </w:pPr>
    <w:rPr>
      <w:rFonts w:ascii="宋体"/>
    </w:rPr>
  </w:style>
  <w:style w:type="paragraph" w:customStyle="1" w:styleId="125">
    <w:name w:val="Normal_0"/>
    <w:autoRedefine/>
    <w:qFormat/>
    <w:uiPriority w:val="0"/>
    <w:pPr>
      <w:widowControl w:val="0"/>
      <w:jc w:val="both"/>
    </w:pPr>
    <w:rPr>
      <w:rFonts w:ascii="Calibri" w:hAnsi="Calibri" w:eastAsia="宋体" w:cs="Times New Roman"/>
      <w:lang w:val="en-US" w:eastAsia="zh-CN" w:bidi="ar-SA"/>
    </w:rPr>
  </w:style>
  <w:style w:type="paragraph" w:customStyle="1" w:styleId="126">
    <w:name w:val="Char"/>
    <w:basedOn w:val="1"/>
    <w:autoRedefine/>
    <w:qFormat/>
    <w:uiPriority w:val="0"/>
  </w:style>
  <w:style w:type="paragraph" w:customStyle="1" w:styleId="127">
    <w:name w:val="正文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para"/>
    <w:basedOn w:val="1"/>
    <w:autoRedefine/>
    <w:qFormat/>
    <w:uiPriority w:val="0"/>
    <w:pPr>
      <w:widowControl/>
      <w:adjustRightInd w:val="0"/>
      <w:spacing w:before="160" w:line="360" w:lineRule="auto"/>
      <w:ind w:firstLine="425"/>
      <w:textAlignment w:val="baseline"/>
    </w:pPr>
    <w:rPr>
      <w:kern w:val="0"/>
      <w:sz w:val="24"/>
      <w:szCs w:val="20"/>
      <w:lang w:eastAsia="en-US"/>
    </w:rPr>
  </w:style>
  <w:style w:type="paragraph" w:customStyle="1" w:styleId="129">
    <w:name w:val="纯文本 New New New"/>
    <w:basedOn w:val="1"/>
    <w:next w:val="1"/>
    <w:autoRedefine/>
    <w:qFormat/>
    <w:uiPriority w:val="0"/>
    <w:pPr>
      <w:autoSpaceDE w:val="0"/>
      <w:autoSpaceDN w:val="0"/>
      <w:adjustRightInd w:val="0"/>
      <w:jc w:val="left"/>
    </w:pPr>
    <w:rPr>
      <w:rFonts w:ascii="宋体"/>
    </w:rPr>
  </w:style>
  <w:style w:type="paragraph" w:customStyle="1" w:styleId="130">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1">
    <w:name w:val="段落"/>
    <w:autoRedefine/>
    <w:qFormat/>
    <w:uiPriority w:val="0"/>
    <w:pPr>
      <w:adjustRightInd w:val="0"/>
      <w:snapToGrid w:val="0"/>
      <w:spacing w:before="120" w:after="120" w:line="360" w:lineRule="auto"/>
      <w:ind w:firstLine="560" w:firstLineChars="200"/>
      <w:jc w:val="both"/>
    </w:pPr>
    <w:rPr>
      <w:rFonts w:ascii="Times New Roman" w:hAnsi="Times New Roman" w:eastAsia="仿宋_GB2312" w:cs="Times New Roman"/>
      <w:kern w:val="2"/>
      <w:sz w:val="28"/>
      <w:szCs w:val="24"/>
      <w:lang w:val="en-US" w:eastAsia="zh-CN" w:bidi="ar-SA"/>
    </w:rPr>
  </w:style>
  <w:style w:type="table" w:customStyle="1" w:styleId="132">
    <w:name w:val="Table Normal"/>
    <w:autoRedefine/>
    <w:semiHidden/>
    <w:unhideWhenUsed/>
    <w:qFormat/>
    <w:uiPriority w:val="0"/>
    <w:tblPr>
      <w:tblCellMar>
        <w:top w:w="0" w:type="dxa"/>
        <w:left w:w="0" w:type="dxa"/>
        <w:bottom w:w="0" w:type="dxa"/>
        <w:right w:w="0" w:type="dxa"/>
      </w:tblCellMar>
    </w:tblPr>
  </w:style>
  <w:style w:type="paragraph" w:customStyle="1" w:styleId="133">
    <w:name w:val="BodyText"/>
    <w:basedOn w:val="1"/>
    <w:autoRedefine/>
    <w:qFormat/>
    <w:uiPriority w:val="0"/>
    <w:pPr>
      <w:spacing w:after="120"/>
    </w:pPr>
  </w:style>
  <w:style w:type="character" w:customStyle="1" w:styleId="134">
    <w:name w:val="标题 1 字符"/>
    <w:link w:val="3"/>
    <w:autoRedefine/>
    <w:qFormat/>
    <w:uiPriority w:val="0"/>
    <w:rPr>
      <w:rFonts w:ascii="Times New Roman" w:hAnsi="Times New Roman" w:eastAsia="黑体" w:cs="Times New Roman"/>
      <w:b/>
      <w:kern w:val="44"/>
      <w:sz w:val="28"/>
      <w:szCs w:val="20"/>
      <w:lang w:val="en-US" w:eastAsia="zh-CN" w:bidi="ar-SA"/>
    </w:rPr>
  </w:style>
  <w:style w:type="character" w:customStyle="1" w:styleId="135">
    <w:name w:val="标题 2 字符2"/>
    <w:link w:val="4"/>
    <w:autoRedefine/>
    <w:qFormat/>
    <w:uiPriority w:val="0"/>
    <w:rPr>
      <w:rFonts w:ascii="Arial" w:hAnsi="Arial" w:eastAsia="黑体" w:cs="Times New Roman"/>
      <w:b/>
      <w:bCs/>
      <w:sz w:val="32"/>
      <w:szCs w:val="32"/>
    </w:rPr>
  </w:style>
  <w:style w:type="character" w:customStyle="1" w:styleId="136">
    <w:name w:val="font51"/>
    <w:basedOn w:val="45"/>
    <w:autoRedefine/>
    <w:qFormat/>
    <w:uiPriority w:val="0"/>
    <w:rPr>
      <w:rFonts w:hint="eastAsia" w:ascii="宋体" w:hAnsi="宋体" w:eastAsia="宋体" w:cs="宋体"/>
      <w:color w:val="000000"/>
      <w:sz w:val="22"/>
      <w:szCs w:val="22"/>
      <w:u w:val="none"/>
    </w:rPr>
  </w:style>
  <w:style w:type="character" w:customStyle="1" w:styleId="137">
    <w:name w:val="font71"/>
    <w:basedOn w:val="45"/>
    <w:autoRedefine/>
    <w:qFormat/>
    <w:uiPriority w:val="0"/>
    <w:rPr>
      <w:rFonts w:hint="default" w:ascii="Times New Roman" w:hAnsi="Times New Roman" w:cs="Times New Roman"/>
      <w:color w:val="000000"/>
      <w:sz w:val="22"/>
      <w:szCs w:val="22"/>
      <w:u w:val="none"/>
    </w:rPr>
  </w:style>
  <w:style w:type="character" w:customStyle="1" w:styleId="138">
    <w:name w:val="font81"/>
    <w:basedOn w:val="45"/>
    <w:autoRedefine/>
    <w:qFormat/>
    <w:uiPriority w:val="0"/>
    <w:rPr>
      <w:rFonts w:ascii="Calibri" w:hAnsi="Calibri" w:cs="Calibri"/>
      <w:color w:val="000000"/>
      <w:sz w:val="22"/>
      <w:szCs w:val="22"/>
      <w:u w:val="none"/>
    </w:rPr>
  </w:style>
  <w:style w:type="character" w:customStyle="1" w:styleId="139">
    <w:name w:val="font31"/>
    <w:basedOn w:val="45"/>
    <w:autoRedefine/>
    <w:qFormat/>
    <w:uiPriority w:val="0"/>
    <w:rPr>
      <w:rFonts w:hint="eastAsia" w:ascii="宋体" w:hAnsi="宋体" w:eastAsia="宋体" w:cs="宋体"/>
      <w:color w:val="000000"/>
      <w:sz w:val="18"/>
      <w:szCs w:val="18"/>
      <w:u w:val="none"/>
    </w:rPr>
  </w:style>
  <w:style w:type="character" w:customStyle="1" w:styleId="140">
    <w:name w:val="font61"/>
    <w:basedOn w:val="45"/>
    <w:autoRedefine/>
    <w:qFormat/>
    <w:uiPriority w:val="0"/>
    <w:rPr>
      <w:rFonts w:hint="default" w:ascii="Times New Roman" w:hAnsi="Times New Roman" w:cs="Times New Roman"/>
      <w:color w:val="000000"/>
      <w:sz w:val="18"/>
      <w:szCs w:val="18"/>
      <w:u w:val="none"/>
    </w:rPr>
  </w:style>
  <w:style w:type="character" w:customStyle="1" w:styleId="141">
    <w:name w:val="font41"/>
    <w:basedOn w:val="45"/>
    <w:autoRedefine/>
    <w:qFormat/>
    <w:uiPriority w:val="0"/>
    <w:rPr>
      <w:rFonts w:hint="eastAsia" w:ascii="宋体" w:hAnsi="宋体" w:eastAsia="宋体" w:cs="宋体"/>
      <w:color w:val="000000"/>
      <w:sz w:val="22"/>
      <w:szCs w:val="22"/>
      <w:u w:val="none"/>
    </w:rPr>
  </w:style>
  <w:style w:type="character" w:customStyle="1" w:styleId="142">
    <w:name w:val="font11"/>
    <w:basedOn w:val="45"/>
    <w:autoRedefine/>
    <w:qFormat/>
    <w:uiPriority w:val="0"/>
    <w:rPr>
      <w:rFonts w:hint="eastAsia" w:ascii="宋体" w:hAnsi="宋体" w:eastAsia="宋体" w:cs="宋体"/>
      <w:color w:val="000000"/>
      <w:sz w:val="22"/>
      <w:szCs w:val="22"/>
      <w:u w:val="none"/>
    </w:rPr>
  </w:style>
  <w:style w:type="character" w:customStyle="1" w:styleId="143">
    <w:name w:val="font91"/>
    <w:basedOn w:val="45"/>
    <w:autoRedefine/>
    <w:qFormat/>
    <w:uiPriority w:val="0"/>
    <w:rPr>
      <w:rFonts w:hint="eastAsia" w:ascii="宋体" w:hAnsi="宋体" w:eastAsia="宋体" w:cs="宋体"/>
      <w:color w:val="FF0000"/>
      <w:sz w:val="18"/>
      <w:szCs w:val="18"/>
      <w:u w:val="none"/>
    </w:rPr>
  </w:style>
  <w:style w:type="character" w:customStyle="1" w:styleId="144">
    <w:name w:val="font101"/>
    <w:basedOn w:val="45"/>
    <w:autoRedefine/>
    <w:qFormat/>
    <w:uiPriority w:val="0"/>
    <w:rPr>
      <w:rFonts w:hint="default" w:ascii="Times New Roman" w:hAnsi="Times New Roman" w:cs="Times New Roman"/>
      <w:color w:val="FF0000"/>
      <w:sz w:val="18"/>
      <w:szCs w:val="18"/>
      <w:u w:val="none"/>
    </w:rPr>
  </w:style>
  <w:style w:type="character" w:customStyle="1" w:styleId="145">
    <w:name w:val="font112"/>
    <w:basedOn w:val="45"/>
    <w:autoRedefine/>
    <w:qFormat/>
    <w:uiPriority w:val="0"/>
    <w:rPr>
      <w:rFonts w:hint="eastAsia" w:ascii="宋体" w:hAnsi="宋体" w:eastAsia="宋体" w:cs="宋体"/>
      <w:color w:val="FF0000"/>
      <w:sz w:val="18"/>
      <w:szCs w:val="18"/>
      <w:u w:val="none"/>
    </w:rPr>
  </w:style>
  <w:style w:type="character" w:customStyle="1" w:styleId="146">
    <w:name w:val="font121"/>
    <w:basedOn w:val="45"/>
    <w:autoRedefine/>
    <w:qFormat/>
    <w:uiPriority w:val="0"/>
    <w:rPr>
      <w:rFonts w:hint="default" w:ascii="Times New Roman" w:hAnsi="Times New Roman" w:cs="Times New Roman"/>
      <w:color w:val="FF0000"/>
      <w:sz w:val="18"/>
      <w:szCs w:val="18"/>
      <w:u w:val="none"/>
    </w:rPr>
  </w:style>
  <w:style w:type="paragraph" w:customStyle="1" w:styleId="147">
    <w:name w:val="PlainText"/>
    <w:basedOn w:val="1"/>
    <w:qFormat/>
    <w:uiPriority w:val="0"/>
    <w:rPr>
      <w:rFonts w:ascii="宋体" w:hAnsi="Courier New"/>
    </w:rPr>
  </w:style>
  <w:style w:type="paragraph" w:customStyle="1" w:styleId="148">
    <w:name w:val="无间隔1"/>
    <w:qFormat/>
    <w:uiPriority w:val="1"/>
    <w:pPr>
      <w:adjustRightInd w:val="0"/>
      <w:snapToGrid w:val="0"/>
    </w:pPr>
    <w:rPr>
      <w:rFonts w:ascii="Tahoma" w:hAnsi="Tahoma" w:eastAsia="微软雅黑" w:cstheme="minorBidi"/>
      <w:sz w:val="22"/>
      <w:szCs w:val="22"/>
      <w:lang w:val="en-US" w:eastAsia="zh-CN" w:bidi="ar-SA"/>
    </w:rPr>
  </w:style>
  <w:style w:type="paragraph" w:customStyle="1" w:styleId="149">
    <w:name w:val="_Style 3"/>
    <w:basedOn w:val="1"/>
    <w:next w:val="32"/>
    <w:qFormat/>
    <w:uiPriority w:val="34"/>
    <w:pPr>
      <w:ind w:firstLine="420" w:firstLineChars="200"/>
    </w:pPr>
    <w:rPr>
      <w:rFonts w:ascii="等线" w:hAnsi="等线" w:eastAsia="等线"/>
    </w:rPr>
  </w:style>
  <w:style w:type="paragraph" w:customStyle="1" w:styleId="150">
    <w:name w:val="石墨文档正文"/>
    <w:qFormat/>
    <w:uiPriority w:val="0"/>
    <w:rPr>
      <w:rFonts w:ascii="Arial Unicode MS" w:hAnsi="Arial Unicode MS" w:eastAsia="MicrosoftYaHei" w:cs="Arial Unicode M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76</Pages>
  <Words>30981</Words>
  <Characters>33177</Characters>
  <Lines>2322</Lines>
  <Paragraphs>1699</Paragraphs>
  <TotalTime>19</TotalTime>
  <ScaleCrop>false</ScaleCrop>
  <LinksUpToDate>false</LinksUpToDate>
  <CharactersWithSpaces>34215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2025-04-18T02:35:00Z</dcterms:created>
  <dc:creator>kaka</dc:creator>
  <cp:lastModifiedBy>勤劳的小蜜蜂</cp:lastModifiedBy>
  <cp:lastPrinted>2025-05-02T05:39:00Z</cp:lastPrinted>
  <dcterms:modified xsi:type="dcterms:W3CDTF">2026-05-07T14:45:00Z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33DBD329709F4E0D92AB5C8E3A07B3E3_13</vt:lpwstr>
  </property>
  <property fmtid="{D5CDD505-2E9C-101B-9397-08002B2CF9AE}" pid="3" name="KSOProductBuildVer">
    <vt:lpwstr>2052-12.1.0.25865</vt:lpwstr>
  </property>
  <property fmtid="{D5CDD505-2E9C-101B-9397-08002B2CF9AE}" pid="4" name="KSOTemplateDocerSaveRecord">
    <vt:lpwstr>eyJoZGlkIjoiYzYyYWUzMDAwYmU5MmE5NzgyYTQyNmZjZGYxZDg4YWUiLCJ1c2VySWQiOiIzNTMxMjc0NTQifQ==</vt:lpwstr>
  </property>
</Properties>
</file>